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1A1" w:rsidRDefault="00E50FDD" w:rsidP="00B611A1">
      <w:pPr>
        <w:ind w:left="426" w:hanging="426"/>
        <w:rPr>
          <w:rFonts w:asciiTheme="majorBidi" w:hAnsiTheme="majorBidi" w:cstheme="majorBidi"/>
          <w:b/>
          <w:bCs/>
          <w:sz w:val="28"/>
          <w:szCs w:val="28"/>
        </w:rPr>
      </w:pPr>
      <w:r w:rsidRPr="00996D57">
        <w:rPr>
          <w:rFonts w:asciiTheme="majorBidi" w:hAnsiTheme="majorBidi" w:cstheme="majorBidi"/>
          <w:b/>
          <w:bCs/>
          <w:sz w:val="28"/>
          <w:szCs w:val="28"/>
        </w:rPr>
        <w:t>Partie 4 : la taxe sur la valeur ajoutée</w:t>
      </w:r>
    </w:p>
    <w:p w:rsidR="00E50FDD" w:rsidRPr="00996D57" w:rsidRDefault="00B611A1" w:rsidP="00B611A1">
      <w:pPr>
        <w:ind w:left="426" w:hanging="426"/>
        <w:rPr>
          <w:rFonts w:asciiTheme="majorBidi" w:hAnsiTheme="majorBidi" w:cstheme="majorBidi"/>
          <w:b/>
          <w:bCs/>
          <w:sz w:val="28"/>
          <w:szCs w:val="28"/>
        </w:rPr>
      </w:pPr>
      <w:r>
        <w:rPr>
          <w:rFonts w:asciiTheme="majorBidi" w:hAnsiTheme="majorBidi" w:cstheme="majorBidi"/>
          <w:b/>
          <w:bCs/>
          <w:sz w:val="28"/>
          <w:szCs w:val="28"/>
        </w:rPr>
        <w:t xml:space="preserve">Chapitre 1 : champ d’application de la TVA </w:t>
      </w:r>
      <w:r w:rsidR="00E50FDD" w:rsidRPr="00996D57">
        <w:rPr>
          <w:rFonts w:asciiTheme="majorBidi" w:hAnsiTheme="majorBidi" w:cstheme="majorBidi"/>
          <w:b/>
          <w:bCs/>
          <w:sz w:val="28"/>
          <w:szCs w:val="28"/>
        </w:rPr>
        <w:t xml:space="preserve"> </w:t>
      </w:r>
    </w:p>
    <w:p w:rsidR="00996D57" w:rsidRPr="00996D57" w:rsidRDefault="00996D57" w:rsidP="00B611A1">
      <w:pPr>
        <w:pStyle w:val="Paragraphedeliste"/>
        <w:numPr>
          <w:ilvl w:val="0"/>
          <w:numId w:val="1"/>
        </w:numPr>
        <w:ind w:left="426" w:hanging="426"/>
        <w:rPr>
          <w:rFonts w:asciiTheme="majorBidi" w:hAnsiTheme="majorBidi" w:cstheme="majorBidi"/>
          <w:b/>
          <w:bCs/>
          <w:sz w:val="24"/>
          <w:szCs w:val="24"/>
        </w:rPr>
      </w:pPr>
      <w:r w:rsidRPr="00996D57">
        <w:rPr>
          <w:rFonts w:asciiTheme="majorBidi" w:hAnsiTheme="majorBidi" w:cstheme="majorBidi"/>
          <w:b/>
          <w:bCs/>
          <w:sz w:val="24"/>
          <w:szCs w:val="24"/>
        </w:rPr>
        <w:t xml:space="preserve">Introduction </w:t>
      </w:r>
    </w:p>
    <w:p w:rsidR="00E50FDD" w:rsidRPr="00996D57" w:rsidRDefault="00996D57" w:rsidP="00B611A1">
      <w:pPr>
        <w:ind w:left="426" w:hanging="426"/>
        <w:jc w:val="both"/>
        <w:rPr>
          <w:rFonts w:asciiTheme="majorBidi" w:hAnsiTheme="majorBidi" w:cstheme="majorBidi"/>
          <w:sz w:val="24"/>
          <w:szCs w:val="24"/>
        </w:rPr>
      </w:pPr>
      <w:r w:rsidRPr="00996D57">
        <w:rPr>
          <w:rFonts w:asciiTheme="majorBidi" w:hAnsiTheme="majorBidi" w:cstheme="majorBidi"/>
          <w:sz w:val="24"/>
          <w:szCs w:val="24"/>
        </w:rPr>
        <w:t xml:space="preserve">     </w:t>
      </w:r>
      <w:r w:rsidR="00E50FDD" w:rsidRPr="00996D57">
        <w:rPr>
          <w:rFonts w:asciiTheme="majorBidi" w:hAnsiTheme="majorBidi" w:cstheme="majorBidi"/>
          <w:sz w:val="24"/>
          <w:szCs w:val="24"/>
        </w:rPr>
        <w:t xml:space="preserve">La TVA impose le surplus de valeur créé par l’entreprise. Celle-ci facture la TVA à son client au moment de la vente, mais elle récupère la TVA qu’elle verse à son fournisseur au moment de l’achat. Elle ne supporte la TVA que sur le surplus de richesse qu’elle crée. </w:t>
      </w:r>
    </w:p>
    <w:p w:rsidR="00E50FDD" w:rsidRPr="00996D57" w:rsidRDefault="00996D57" w:rsidP="00B611A1">
      <w:pPr>
        <w:ind w:left="426" w:hanging="426"/>
        <w:jc w:val="both"/>
        <w:rPr>
          <w:rFonts w:asciiTheme="majorBidi" w:hAnsiTheme="majorBidi" w:cstheme="majorBidi"/>
          <w:sz w:val="24"/>
          <w:szCs w:val="24"/>
        </w:rPr>
      </w:pPr>
      <w:r w:rsidRPr="00996D57">
        <w:rPr>
          <w:rFonts w:asciiTheme="majorBidi" w:hAnsiTheme="majorBidi" w:cstheme="majorBidi"/>
          <w:sz w:val="24"/>
          <w:szCs w:val="24"/>
        </w:rPr>
        <w:t xml:space="preserve">     </w:t>
      </w:r>
      <w:r w:rsidR="00E50FDD" w:rsidRPr="00996D57">
        <w:rPr>
          <w:rFonts w:asciiTheme="majorBidi" w:hAnsiTheme="majorBidi" w:cstheme="majorBidi"/>
          <w:sz w:val="24"/>
          <w:szCs w:val="24"/>
        </w:rPr>
        <w:t xml:space="preserve">Ce sont les entreprises qui déclarent et payent </w:t>
      </w:r>
      <w:smartTag w:uri="urn:schemas-microsoft-com:office:smarttags" w:element="PersonName">
        <w:smartTagPr>
          <w:attr w:name="ProductID" w:val="la TVA"/>
        </w:smartTagPr>
        <w:r w:rsidR="00E50FDD" w:rsidRPr="00996D57">
          <w:rPr>
            <w:rFonts w:asciiTheme="majorBidi" w:hAnsiTheme="majorBidi" w:cstheme="majorBidi"/>
            <w:sz w:val="24"/>
            <w:szCs w:val="24"/>
          </w:rPr>
          <w:t>la TVA</w:t>
        </w:r>
      </w:smartTag>
      <w:r w:rsidR="00E50FDD" w:rsidRPr="00996D57">
        <w:rPr>
          <w:rFonts w:asciiTheme="majorBidi" w:hAnsiTheme="majorBidi" w:cstheme="majorBidi"/>
          <w:sz w:val="24"/>
          <w:szCs w:val="24"/>
        </w:rPr>
        <w:t xml:space="preserve"> à l’Etat. Cependant, le consommateur final est le redevable réel qui supporte cet impôt en dernier ressort, à travers la dépense ou la consommation</w:t>
      </w:r>
      <w:bookmarkStart w:id="0" w:name="_GoBack"/>
      <w:bookmarkEnd w:id="0"/>
    </w:p>
    <w:p w:rsidR="00E50FDD" w:rsidRPr="00996D57" w:rsidRDefault="00996D57" w:rsidP="00B611A1">
      <w:pPr>
        <w:ind w:left="426" w:hanging="426"/>
        <w:jc w:val="both"/>
        <w:rPr>
          <w:rFonts w:asciiTheme="majorBidi" w:hAnsiTheme="majorBidi" w:cstheme="majorBidi"/>
          <w:sz w:val="24"/>
          <w:szCs w:val="24"/>
        </w:rPr>
      </w:pPr>
      <w:r w:rsidRPr="00996D57">
        <w:rPr>
          <w:rFonts w:asciiTheme="majorBidi" w:hAnsiTheme="majorBidi" w:cstheme="majorBidi"/>
          <w:sz w:val="24"/>
          <w:szCs w:val="24"/>
        </w:rPr>
        <w:t xml:space="preserve">      </w:t>
      </w:r>
      <w:r w:rsidR="00E50FDD" w:rsidRPr="00996D57">
        <w:rPr>
          <w:rFonts w:asciiTheme="majorBidi" w:hAnsiTheme="majorBidi" w:cstheme="majorBidi"/>
          <w:sz w:val="24"/>
          <w:szCs w:val="24"/>
        </w:rPr>
        <w:t xml:space="preserve">En principe, la TVA frappe les opérations de nature industrielle, commerciale, artisanale ou relevant de l’exercice d’une profession libérale, accomplies au Maroc. Elle s’applique aussi aux opérations d’importation </w:t>
      </w:r>
    </w:p>
    <w:p w:rsidR="00996D57" w:rsidRPr="00996D57" w:rsidRDefault="00996D57" w:rsidP="00B611A1">
      <w:pPr>
        <w:ind w:left="426" w:hanging="426"/>
        <w:jc w:val="both"/>
        <w:rPr>
          <w:rFonts w:asciiTheme="majorBidi" w:hAnsiTheme="majorBidi" w:cstheme="majorBidi"/>
          <w:sz w:val="24"/>
          <w:szCs w:val="24"/>
        </w:rPr>
      </w:pPr>
      <w:r w:rsidRPr="00996D57">
        <w:rPr>
          <w:rFonts w:asciiTheme="majorBidi" w:hAnsiTheme="majorBidi" w:cstheme="majorBidi"/>
          <w:sz w:val="24"/>
          <w:szCs w:val="24"/>
        </w:rPr>
        <w:t xml:space="preserve">     </w:t>
      </w:r>
      <w:r w:rsidR="00E50FDD" w:rsidRPr="00996D57">
        <w:rPr>
          <w:rFonts w:asciiTheme="majorBidi" w:hAnsiTheme="majorBidi" w:cstheme="majorBidi"/>
          <w:sz w:val="24"/>
          <w:szCs w:val="24"/>
        </w:rPr>
        <w:t xml:space="preserve">Cependant, certaines opérations économiques n’entrent pas dans le champ d’application de la TVA. De plus des opérations entrant dans le champ d’application de la TVA sont exonérées par des dispositions légalitaires. </w:t>
      </w:r>
    </w:p>
    <w:tbl>
      <w:tblPr>
        <w:tblStyle w:val="Grilledutableau"/>
        <w:tblW w:w="0" w:type="auto"/>
        <w:tblLook w:val="04A0" w:firstRow="1" w:lastRow="0" w:firstColumn="1" w:lastColumn="0" w:noHBand="0" w:noVBand="1"/>
      </w:tblPr>
      <w:tblGrid>
        <w:gridCol w:w="3020"/>
        <w:gridCol w:w="3021"/>
        <w:gridCol w:w="3021"/>
      </w:tblGrid>
      <w:tr w:rsidR="00996D57" w:rsidRPr="00996D57" w:rsidTr="00996D57">
        <w:trPr>
          <w:gridAfter w:val="1"/>
          <w:wAfter w:w="3021" w:type="dxa"/>
        </w:trPr>
        <w:tc>
          <w:tcPr>
            <w:tcW w:w="3020" w:type="dxa"/>
            <w:vMerge w:val="restart"/>
          </w:tcPr>
          <w:p w:rsidR="00996D57" w:rsidRPr="00996D57" w:rsidRDefault="00996D57" w:rsidP="00B611A1">
            <w:pPr>
              <w:ind w:left="426" w:hanging="426"/>
              <w:jc w:val="both"/>
              <w:rPr>
                <w:rFonts w:asciiTheme="majorBidi" w:hAnsiTheme="majorBidi" w:cstheme="majorBidi"/>
                <w:sz w:val="24"/>
                <w:szCs w:val="24"/>
              </w:rPr>
            </w:pPr>
          </w:p>
          <w:p w:rsidR="00996D57" w:rsidRDefault="00996D57" w:rsidP="00B611A1">
            <w:pPr>
              <w:ind w:left="426" w:hanging="426"/>
              <w:jc w:val="both"/>
              <w:rPr>
                <w:rFonts w:asciiTheme="majorBidi" w:hAnsiTheme="majorBidi" w:cstheme="majorBidi"/>
                <w:b/>
                <w:bCs/>
                <w:sz w:val="24"/>
                <w:szCs w:val="24"/>
              </w:rPr>
            </w:pPr>
          </w:p>
          <w:p w:rsidR="00996D57" w:rsidRPr="00996D57" w:rsidRDefault="00996D57" w:rsidP="00B611A1">
            <w:pPr>
              <w:ind w:left="426" w:hanging="426"/>
              <w:jc w:val="both"/>
              <w:rPr>
                <w:rFonts w:asciiTheme="majorBidi" w:hAnsiTheme="majorBidi" w:cstheme="majorBidi"/>
                <w:b/>
                <w:bCs/>
                <w:sz w:val="24"/>
                <w:szCs w:val="24"/>
              </w:rPr>
            </w:pPr>
            <w:r w:rsidRPr="00996D57">
              <w:rPr>
                <w:rFonts w:asciiTheme="majorBidi" w:hAnsiTheme="majorBidi" w:cstheme="majorBidi"/>
                <w:b/>
                <w:bCs/>
                <w:sz w:val="24"/>
                <w:szCs w:val="24"/>
              </w:rPr>
              <w:t xml:space="preserve">Opérations économiques </w:t>
            </w:r>
          </w:p>
        </w:tc>
        <w:tc>
          <w:tcPr>
            <w:tcW w:w="3021" w:type="dxa"/>
          </w:tcPr>
          <w:p w:rsidR="00996D57" w:rsidRDefault="00996D57" w:rsidP="00B611A1">
            <w:pPr>
              <w:ind w:left="426" w:hanging="426"/>
              <w:jc w:val="both"/>
              <w:rPr>
                <w:rFonts w:asciiTheme="majorBidi" w:hAnsiTheme="majorBidi" w:cstheme="majorBidi"/>
                <w:sz w:val="24"/>
                <w:szCs w:val="24"/>
              </w:rPr>
            </w:pPr>
            <w:r w:rsidRPr="00996D57">
              <w:rPr>
                <w:rFonts w:asciiTheme="majorBidi" w:hAnsiTheme="majorBidi" w:cstheme="majorBidi"/>
                <w:sz w:val="24"/>
                <w:szCs w:val="24"/>
              </w:rPr>
              <w:t>Opérations hors champ</w:t>
            </w:r>
          </w:p>
          <w:p w:rsidR="00996D57" w:rsidRPr="00996D57" w:rsidRDefault="00996D57" w:rsidP="00B611A1">
            <w:pPr>
              <w:ind w:left="426" w:hanging="426"/>
              <w:jc w:val="both"/>
              <w:rPr>
                <w:rFonts w:asciiTheme="majorBidi" w:hAnsiTheme="majorBidi" w:cstheme="majorBidi"/>
                <w:sz w:val="24"/>
                <w:szCs w:val="24"/>
              </w:rPr>
            </w:pPr>
          </w:p>
        </w:tc>
      </w:tr>
      <w:tr w:rsidR="00996D57" w:rsidRPr="00996D57" w:rsidTr="00996D57">
        <w:tc>
          <w:tcPr>
            <w:tcW w:w="3020" w:type="dxa"/>
            <w:vMerge/>
          </w:tcPr>
          <w:p w:rsidR="00996D57" w:rsidRPr="00996D57" w:rsidRDefault="00996D57" w:rsidP="00B611A1">
            <w:pPr>
              <w:ind w:left="426" w:hanging="426"/>
              <w:jc w:val="both"/>
              <w:rPr>
                <w:rFonts w:asciiTheme="majorBidi" w:hAnsiTheme="majorBidi" w:cstheme="majorBidi"/>
                <w:sz w:val="24"/>
                <w:szCs w:val="24"/>
              </w:rPr>
            </w:pPr>
          </w:p>
        </w:tc>
        <w:tc>
          <w:tcPr>
            <w:tcW w:w="3021" w:type="dxa"/>
            <w:vMerge w:val="restart"/>
          </w:tcPr>
          <w:p w:rsidR="00996D57" w:rsidRPr="00996D57" w:rsidRDefault="00996D57" w:rsidP="00B611A1">
            <w:pPr>
              <w:ind w:left="426" w:hanging="426"/>
              <w:jc w:val="both"/>
              <w:rPr>
                <w:rFonts w:asciiTheme="majorBidi" w:hAnsiTheme="majorBidi" w:cstheme="majorBidi"/>
                <w:sz w:val="24"/>
                <w:szCs w:val="24"/>
              </w:rPr>
            </w:pPr>
            <w:r w:rsidRPr="00996D57">
              <w:rPr>
                <w:rFonts w:asciiTheme="majorBidi" w:hAnsiTheme="majorBidi" w:cstheme="majorBidi"/>
                <w:sz w:val="24"/>
                <w:szCs w:val="24"/>
              </w:rPr>
              <w:t>Opérations entrant dans le champ d’application de la TVA</w:t>
            </w:r>
          </w:p>
        </w:tc>
        <w:tc>
          <w:tcPr>
            <w:tcW w:w="3021" w:type="dxa"/>
          </w:tcPr>
          <w:p w:rsidR="00996D57" w:rsidRPr="00996D57" w:rsidRDefault="00996D57" w:rsidP="00B611A1">
            <w:pPr>
              <w:ind w:left="426" w:hanging="426"/>
              <w:jc w:val="both"/>
              <w:rPr>
                <w:rFonts w:asciiTheme="majorBidi" w:hAnsiTheme="majorBidi" w:cstheme="majorBidi"/>
                <w:sz w:val="24"/>
                <w:szCs w:val="24"/>
              </w:rPr>
            </w:pPr>
            <w:r w:rsidRPr="00996D57">
              <w:rPr>
                <w:rFonts w:asciiTheme="majorBidi" w:hAnsiTheme="majorBidi" w:cstheme="majorBidi"/>
                <w:sz w:val="24"/>
                <w:szCs w:val="24"/>
              </w:rPr>
              <w:t xml:space="preserve">Opérations exonérées de la TVA </w:t>
            </w:r>
          </w:p>
        </w:tc>
      </w:tr>
      <w:tr w:rsidR="00996D57" w:rsidRPr="00996D57" w:rsidTr="00996D57">
        <w:tc>
          <w:tcPr>
            <w:tcW w:w="3020" w:type="dxa"/>
            <w:vMerge/>
          </w:tcPr>
          <w:p w:rsidR="00996D57" w:rsidRPr="00996D57" w:rsidRDefault="00996D57" w:rsidP="00B611A1">
            <w:pPr>
              <w:ind w:left="426" w:hanging="426"/>
              <w:jc w:val="both"/>
              <w:rPr>
                <w:rFonts w:asciiTheme="majorBidi" w:hAnsiTheme="majorBidi" w:cstheme="majorBidi"/>
                <w:sz w:val="24"/>
                <w:szCs w:val="24"/>
              </w:rPr>
            </w:pPr>
          </w:p>
        </w:tc>
        <w:tc>
          <w:tcPr>
            <w:tcW w:w="3021" w:type="dxa"/>
            <w:vMerge/>
          </w:tcPr>
          <w:p w:rsidR="00996D57" w:rsidRPr="00996D57" w:rsidRDefault="00996D57" w:rsidP="00B611A1">
            <w:pPr>
              <w:ind w:left="426" w:hanging="426"/>
              <w:jc w:val="both"/>
              <w:rPr>
                <w:rFonts w:asciiTheme="majorBidi" w:hAnsiTheme="majorBidi" w:cstheme="majorBidi"/>
                <w:sz w:val="24"/>
                <w:szCs w:val="24"/>
              </w:rPr>
            </w:pPr>
          </w:p>
        </w:tc>
        <w:tc>
          <w:tcPr>
            <w:tcW w:w="3021" w:type="dxa"/>
          </w:tcPr>
          <w:p w:rsidR="00996D57" w:rsidRPr="00996D57" w:rsidRDefault="00996D57" w:rsidP="00B611A1">
            <w:pPr>
              <w:ind w:left="426" w:hanging="426"/>
              <w:jc w:val="both"/>
              <w:rPr>
                <w:rFonts w:asciiTheme="majorBidi" w:hAnsiTheme="majorBidi" w:cstheme="majorBidi"/>
                <w:sz w:val="24"/>
                <w:szCs w:val="24"/>
              </w:rPr>
            </w:pPr>
            <w:r w:rsidRPr="00996D57">
              <w:rPr>
                <w:rFonts w:asciiTheme="majorBidi" w:hAnsiTheme="majorBidi" w:cstheme="majorBidi"/>
                <w:sz w:val="24"/>
                <w:szCs w:val="24"/>
              </w:rPr>
              <w:t xml:space="preserve">Opérations imposables à la TVA </w:t>
            </w:r>
          </w:p>
        </w:tc>
      </w:tr>
    </w:tbl>
    <w:p w:rsidR="00996D57" w:rsidRPr="00996D57" w:rsidRDefault="00996D57" w:rsidP="00B611A1">
      <w:pPr>
        <w:ind w:left="426" w:hanging="426"/>
        <w:jc w:val="both"/>
        <w:rPr>
          <w:rFonts w:asciiTheme="majorBidi" w:hAnsiTheme="majorBidi" w:cstheme="majorBidi"/>
          <w:sz w:val="24"/>
          <w:szCs w:val="24"/>
        </w:rPr>
      </w:pPr>
    </w:p>
    <w:p w:rsidR="00996D57" w:rsidRDefault="00996D57" w:rsidP="00B611A1">
      <w:pPr>
        <w:pStyle w:val="Paragraphedeliste"/>
        <w:numPr>
          <w:ilvl w:val="0"/>
          <w:numId w:val="1"/>
        </w:numPr>
        <w:ind w:left="426" w:hanging="426"/>
        <w:jc w:val="both"/>
        <w:rPr>
          <w:rFonts w:asciiTheme="majorBidi" w:hAnsiTheme="majorBidi" w:cstheme="majorBidi"/>
          <w:b/>
          <w:bCs/>
          <w:sz w:val="24"/>
          <w:szCs w:val="24"/>
        </w:rPr>
      </w:pPr>
      <w:r w:rsidRPr="00996D57">
        <w:rPr>
          <w:rFonts w:asciiTheme="majorBidi" w:hAnsiTheme="majorBidi" w:cstheme="majorBidi"/>
          <w:b/>
          <w:bCs/>
          <w:sz w:val="24"/>
          <w:szCs w:val="24"/>
        </w:rPr>
        <w:t xml:space="preserve">Caractéristiques et champ d’application </w:t>
      </w:r>
    </w:p>
    <w:p w:rsidR="00996D57" w:rsidRDefault="001574E4" w:rsidP="00B611A1">
      <w:pPr>
        <w:pStyle w:val="Paragraphedeliste"/>
        <w:numPr>
          <w:ilvl w:val="0"/>
          <w:numId w:val="3"/>
        </w:numPr>
        <w:ind w:left="426" w:hanging="426"/>
        <w:jc w:val="both"/>
        <w:rPr>
          <w:rFonts w:asciiTheme="majorBidi" w:hAnsiTheme="majorBidi" w:cstheme="majorBidi"/>
          <w:b/>
          <w:bCs/>
          <w:sz w:val="24"/>
          <w:szCs w:val="24"/>
        </w:rPr>
      </w:pPr>
      <w:r>
        <w:rPr>
          <w:rFonts w:asciiTheme="majorBidi" w:hAnsiTheme="majorBidi" w:cstheme="majorBidi"/>
          <w:b/>
          <w:bCs/>
          <w:sz w:val="24"/>
          <w:szCs w:val="24"/>
        </w:rPr>
        <w:t>Caractéristiques</w:t>
      </w:r>
      <w:r w:rsidR="00996D57">
        <w:rPr>
          <w:rFonts w:asciiTheme="majorBidi" w:hAnsiTheme="majorBidi" w:cstheme="majorBidi"/>
          <w:b/>
          <w:bCs/>
          <w:sz w:val="24"/>
          <w:szCs w:val="24"/>
        </w:rPr>
        <w:t xml:space="preserve"> générales </w:t>
      </w:r>
    </w:p>
    <w:p w:rsidR="00996D57" w:rsidRPr="00F06AA7" w:rsidRDefault="001574E4" w:rsidP="00B611A1">
      <w:pPr>
        <w:ind w:left="426" w:hanging="426"/>
        <w:jc w:val="both"/>
        <w:rPr>
          <w:rFonts w:asciiTheme="majorBidi" w:hAnsiTheme="majorBidi" w:cstheme="majorBidi"/>
          <w:sz w:val="24"/>
          <w:szCs w:val="24"/>
        </w:rPr>
      </w:pPr>
      <w:r w:rsidRPr="00F06AA7">
        <w:rPr>
          <w:rFonts w:asciiTheme="majorBidi" w:hAnsiTheme="majorBidi" w:cstheme="majorBidi"/>
          <w:sz w:val="24"/>
          <w:szCs w:val="24"/>
        </w:rPr>
        <w:t>La</w:t>
      </w:r>
      <w:r w:rsidR="00996D57" w:rsidRPr="00F06AA7">
        <w:rPr>
          <w:rFonts w:asciiTheme="majorBidi" w:hAnsiTheme="majorBidi" w:cstheme="majorBidi"/>
          <w:sz w:val="24"/>
          <w:szCs w:val="24"/>
        </w:rPr>
        <w:t xml:space="preserve"> taxe sur la valeur ajoutée présente, par rapport aux autres impôts, certaines caractéristiques qui lui sont spécifiques. </w:t>
      </w:r>
      <w:r w:rsidRPr="00F06AA7">
        <w:rPr>
          <w:rFonts w:asciiTheme="majorBidi" w:hAnsiTheme="majorBidi" w:cstheme="majorBidi"/>
          <w:sz w:val="24"/>
          <w:szCs w:val="24"/>
        </w:rPr>
        <w:t>Ces</w:t>
      </w:r>
      <w:r w:rsidR="00996D57" w:rsidRPr="00F06AA7">
        <w:rPr>
          <w:rFonts w:asciiTheme="majorBidi" w:hAnsiTheme="majorBidi" w:cstheme="majorBidi"/>
          <w:sz w:val="24"/>
          <w:szCs w:val="24"/>
        </w:rPr>
        <w:t xml:space="preserve"> caractéristiques sont les suivantes : </w:t>
      </w:r>
    </w:p>
    <w:p w:rsidR="00996D57" w:rsidRDefault="001574E4" w:rsidP="00B611A1">
      <w:pPr>
        <w:pStyle w:val="Paragraphedeliste"/>
        <w:numPr>
          <w:ilvl w:val="0"/>
          <w:numId w:val="5"/>
        </w:numPr>
        <w:ind w:left="426" w:hanging="426"/>
        <w:jc w:val="both"/>
        <w:rPr>
          <w:rFonts w:asciiTheme="majorBidi" w:hAnsiTheme="majorBidi" w:cstheme="majorBidi"/>
          <w:b/>
          <w:bCs/>
          <w:sz w:val="24"/>
          <w:szCs w:val="24"/>
        </w:rPr>
      </w:pPr>
      <w:r>
        <w:rPr>
          <w:rFonts w:asciiTheme="majorBidi" w:hAnsiTheme="majorBidi" w:cstheme="majorBidi"/>
          <w:b/>
          <w:bCs/>
          <w:sz w:val="24"/>
          <w:szCs w:val="24"/>
        </w:rPr>
        <w:t>La</w:t>
      </w:r>
      <w:r w:rsidR="00996D57">
        <w:rPr>
          <w:rFonts w:asciiTheme="majorBidi" w:hAnsiTheme="majorBidi" w:cstheme="majorBidi"/>
          <w:b/>
          <w:bCs/>
          <w:sz w:val="24"/>
          <w:szCs w:val="24"/>
        </w:rPr>
        <w:t xml:space="preserve"> TVA est un </w:t>
      </w:r>
      <w:r>
        <w:rPr>
          <w:rFonts w:asciiTheme="majorBidi" w:hAnsiTheme="majorBidi" w:cstheme="majorBidi"/>
          <w:b/>
          <w:bCs/>
          <w:sz w:val="24"/>
          <w:szCs w:val="24"/>
        </w:rPr>
        <w:t>impôt</w:t>
      </w:r>
      <w:r w:rsidR="00996D57">
        <w:rPr>
          <w:rFonts w:asciiTheme="majorBidi" w:hAnsiTheme="majorBidi" w:cstheme="majorBidi"/>
          <w:b/>
          <w:bCs/>
          <w:sz w:val="24"/>
          <w:szCs w:val="24"/>
        </w:rPr>
        <w:t xml:space="preserve"> indirect </w:t>
      </w:r>
    </w:p>
    <w:p w:rsidR="00996D57" w:rsidRPr="00266828" w:rsidRDefault="001574E4" w:rsidP="00B611A1">
      <w:pPr>
        <w:ind w:left="426" w:hanging="426"/>
        <w:jc w:val="both"/>
        <w:rPr>
          <w:rFonts w:asciiTheme="majorBidi" w:hAnsiTheme="majorBidi" w:cstheme="majorBidi"/>
          <w:sz w:val="24"/>
          <w:szCs w:val="24"/>
        </w:rPr>
      </w:pPr>
      <w:r w:rsidRPr="00266828">
        <w:rPr>
          <w:rFonts w:asciiTheme="majorBidi" w:hAnsiTheme="majorBidi" w:cstheme="majorBidi"/>
          <w:sz w:val="24"/>
          <w:szCs w:val="24"/>
        </w:rPr>
        <w:t xml:space="preserve">L’existence d’un intermédiaire entre le consommateur final qui supporte la TVA en définitive et l’Etat, confère à la TVA son caractère indirect </w:t>
      </w:r>
    </w:p>
    <w:p w:rsidR="001574E4" w:rsidRDefault="001574E4" w:rsidP="00B611A1">
      <w:pPr>
        <w:pStyle w:val="Paragraphedeliste"/>
        <w:numPr>
          <w:ilvl w:val="0"/>
          <w:numId w:val="5"/>
        </w:numPr>
        <w:ind w:left="426" w:hanging="426"/>
        <w:jc w:val="both"/>
        <w:rPr>
          <w:rFonts w:asciiTheme="majorBidi" w:hAnsiTheme="majorBidi" w:cstheme="majorBidi"/>
          <w:b/>
          <w:bCs/>
          <w:sz w:val="24"/>
          <w:szCs w:val="24"/>
        </w:rPr>
      </w:pPr>
      <w:r>
        <w:rPr>
          <w:rFonts w:asciiTheme="majorBidi" w:hAnsiTheme="majorBidi" w:cstheme="majorBidi"/>
          <w:b/>
          <w:bCs/>
          <w:sz w:val="24"/>
          <w:szCs w:val="24"/>
        </w:rPr>
        <w:t xml:space="preserve">La TVA est un impôt sur la valeur ajoutée </w:t>
      </w:r>
    </w:p>
    <w:p w:rsidR="001574E4" w:rsidRPr="00266828" w:rsidRDefault="00016FD7" w:rsidP="00B611A1">
      <w:pPr>
        <w:ind w:left="426" w:hanging="426"/>
        <w:jc w:val="both"/>
        <w:rPr>
          <w:rFonts w:asciiTheme="majorBidi" w:hAnsiTheme="majorBidi" w:cstheme="majorBidi"/>
          <w:sz w:val="24"/>
          <w:szCs w:val="24"/>
        </w:rPr>
      </w:pPr>
      <w:r w:rsidRPr="00266828">
        <w:rPr>
          <w:rFonts w:asciiTheme="majorBidi" w:hAnsiTheme="majorBidi" w:cstheme="majorBidi"/>
          <w:sz w:val="24"/>
          <w:szCs w:val="24"/>
        </w:rPr>
        <w:t>En</w:t>
      </w:r>
      <w:r w:rsidR="001574E4" w:rsidRPr="00266828">
        <w:rPr>
          <w:rFonts w:asciiTheme="majorBidi" w:hAnsiTheme="majorBidi" w:cstheme="majorBidi"/>
          <w:sz w:val="24"/>
          <w:szCs w:val="24"/>
        </w:rPr>
        <w:t xml:space="preserve"> matière de la TVA, la Valeur Ajoutée s’entend de la différence entre un prix de vente HT et un prix d’achat HT, c’est cette différence qui est taxée au niveau de l’entreprise. </w:t>
      </w:r>
    </w:p>
    <w:p w:rsidR="00016FD7" w:rsidRDefault="00F06AA7" w:rsidP="00B611A1">
      <w:pPr>
        <w:pStyle w:val="Paragraphedeliste"/>
        <w:numPr>
          <w:ilvl w:val="0"/>
          <w:numId w:val="5"/>
        </w:numPr>
        <w:ind w:left="426" w:hanging="426"/>
        <w:jc w:val="both"/>
        <w:rPr>
          <w:rFonts w:asciiTheme="majorBidi" w:hAnsiTheme="majorBidi" w:cstheme="majorBidi"/>
          <w:b/>
          <w:bCs/>
          <w:sz w:val="24"/>
          <w:szCs w:val="24"/>
        </w:rPr>
      </w:pPr>
      <w:r>
        <w:rPr>
          <w:rFonts w:asciiTheme="majorBidi" w:hAnsiTheme="majorBidi" w:cstheme="majorBidi"/>
          <w:b/>
          <w:bCs/>
          <w:sz w:val="24"/>
          <w:szCs w:val="24"/>
        </w:rPr>
        <w:t>La</w:t>
      </w:r>
      <w:r w:rsidR="00016FD7">
        <w:rPr>
          <w:rFonts w:asciiTheme="majorBidi" w:hAnsiTheme="majorBidi" w:cstheme="majorBidi"/>
          <w:b/>
          <w:bCs/>
          <w:sz w:val="24"/>
          <w:szCs w:val="24"/>
        </w:rPr>
        <w:t xml:space="preserve"> TVA n’a pas d’influence directe sur le résultat de l’entreprise </w:t>
      </w:r>
    </w:p>
    <w:p w:rsidR="00016FD7" w:rsidRPr="00266828" w:rsidRDefault="00F06AA7" w:rsidP="00B611A1">
      <w:pPr>
        <w:ind w:left="426" w:hanging="426"/>
        <w:jc w:val="both"/>
        <w:rPr>
          <w:rFonts w:asciiTheme="majorBidi" w:hAnsiTheme="majorBidi" w:cstheme="majorBidi"/>
          <w:sz w:val="24"/>
          <w:szCs w:val="24"/>
        </w:rPr>
      </w:pPr>
      <w:r w:rsidRPr="00266828">
        <w:rPr>
          <w:rFonts w:asciiTheme="majorBidi" w:hAnsiTheme="majorBidi" w:cstheme="majorBidi"/>
          <w:sz w:val="24"/>
          <w:szCs w:val="24"/>
        </w:rPr>
        <w:t>La</w:t>
      </w:r>
      <w:r w:rsidR="00016FD7" w:rsidRPr="00266828">
        <w:rPr>
          <w:rFonts w:asciiTheme="majorBidi" w:hAnsiTheme="majorBidi" w:cstheme="majorBidi"/>
          <w:sz w:val="24"/>
          <w:szCs w:val="24"/>
        </w:rPr>
        <w:t xml:space="preserve"> TVA est neutre pour la détermination du résultat de l’entreprise. </w:t>
      </w:r>
      <w:r w:rsidR="00266828" w:rsidRPr="00266828">
        <w:rPr>
          <w:rFonts w:asciiTheme="majorBidi" w:hAnsiTheme="majorBidi" w:cstheme="majorBidi"/>
          <w:sz w:val="24"/>
          <w:szCs w:val="24"/>
        </w:rPr>
        <w:t>Elle</w:t>
      </w:r>
      <w:r w:rsidR="00016FD7" w:rsidRPr="00266828">
        <w:rPr>
          <w:rFonts w:asciiTheme="majorBidi" w:hAnsiTheme="majorBidi" w:cstheme="majorBidi"/>
          <w:sz w:val="24"/>
          <w:szCs w:val="24"/>
        </w:rPr>
        <w:t xml:space="preserve"> ne constitue ni une charge ni un produit.</w:t>
      </w:r>
    </w:p>
    <w:p w:rsidR="00266828" w:rsidRDefault="00F06AA7" w:rsidP="00A203CB">
      <w:pPr>
        <w:ind w:left="426" w:hanging="426"/>
        <w:jc w:val="both"/>
        <w:rPr>
          <w:rFonts w:asciiTheme="majorBidi" w:hAnsiTheme="majorBidi" w:cstheme="majorBidi"/>
          <w:sz w:val="24"/>
          <w:szCs w:val="24"/>
        </w:rPr>
      </w:pPr>
      <w:r w:rsidRPr="00266828">
        <w:rPr>
          <w:rFonts w:asciiTheme="majorBidi" w:hAnsiTheme="majorBidi" w:cstheme="majorBidi"/>
          <w:sz w:val="24"/>
          <w:szCs w:val="24"/>
        </w:rPr>
        <w:t>Il</w:t>
      </w:r>
      <w:r w:rsidR="00016FD7" w:rsidRPr="00266828">
        <w:rPr>
          <w:rFonts w:asciiTheme="majorBidi" w:hAnsiTheme="majorBidi" w:cstheme="majorBidi"/>
          <w:sz w:val="24"/>
          <w:szCs w:val="24"/>
        </w:rPr>
        <w:t xml:space="preserve"> s’agit d’un </w:t>
      </w:r>
      <w:r w:rsidRPr="00266828">
        <w:rPr>
          <w:rFonts w:asciiTheme="majorBidi" w:hAnsiTheme="majorBidi" w:cstheme="majorBidi"/>
          <w:sz w:val="24"/>
          <w:szCs w:val="24"/>
        </w:rPr>
        <w:t>impôt</w:t>
      </w:r>
      <w:r w:rsidR="00016FD7" w:rsidRPr="00266828">
        <w:rPr>
          <w:rFonts w:asciiTheme="majorBidi" w:hAnsiTheme="majorBidi" w:cstheme="majorBidi"/>
          <w:sz w:val="24"/>
          <w:szCs w:val="24"/>
        </w:rPr>
        <w:t xml:space="preserve"> sur </w:t>
      </w:r>
      <w:r w:rsidRPr="00266828">
        <w:rPr>
          <w:rFonts w:asciiTheme="majorBidi" w:hAnsiTheme="majorBidi" w:cstheme="majorBidi"/>
          <w:sz w:val="24"/>
          <w:szCs w:val="24"/>
        </w:rPr>
        <w:t>la dépense supportée</w:t>
      </w:r>
      <w:r w:rsidR="00016FD7" w:rsidRPr="00266828">
        <w:rPr>
          <w:rFonts w:asciiTheme="majorBidi" w:hAnsiTheme="majorBidi" w:cstheme="majorBidi"/>
          <w:sz w:val="24"/>
          <w:szCs w:val="24"/>
        </w:rPr>
        <w:t xml:space="preserve"> par le consommateur final, et qui n’a aucune influence sur le résultat. </w:t>
      </w:r>
    </w:p>
    <w:p w:rsidR="00266828" w:rsidRPr="00266828" w:rsidRDefault="00266828" w:rsidP="00B611A1">
      <w:pPr>
        <w:ind w:left="709" w:hanging="426"/>
        <w:jc w:val="both"/>
        <w:rPr>
          <w:rFonts w:asciiTheme="majorBidi" w:hAnsiTheme="majorBidi" w:cstheme="majorBidi"/>
          <w:b/>
          <w:bCs/>
          <w:sz w:val="24"/>
          <w:szCs w:val="24"/>
        </w:rPr>
      </w:pPr>
      <w:r w:rsidRPr="00266828">
        <w:rPr>
          <w:rFonts w:asciiTheme="majorBidi" w:hAnsiTheme="majorBidi" w:cstheme="majorBidi"/>
          <w:b/>
          <w:bCs/>
          <w:sz w:val="24"/>
          <w:szCs w:val="24"/>
        </w:rPr>
        <w:lastRenderedPageBreak/>
        <w:t xml:space="preserve">Exemple : </w:t>
      </w:r>
    </w:p>
    <w:tbl>
      <w:tblPr>
        <w:tblStyle w:val="Grilledutableau"/>
        <w:tblW w:w="0" w:type="auto"/>
        <w:tblInd w:w="-567" w:type="dxa"/>
        <w:tblLook w:val="04A0" w:firstRow="1" w:lastRow="0" w:firstColumn="1" w:lastColumn="0" w:noHBand="0" w:noVBand="1"/>
      </w:tblPr>
      <w:tblGrid>
        <w:gridCol w:w="3020"/>
        <w:gridCol w:w="3021"/>
        <w:gridCol w:w="3021"/>
      </w:tblGrid>
      <w:tr w:rsidR="00266828" w:rsidTr="00266828">
        <w:tc>
          <w:tcPr>
            <w:tcW w:w="3020" w:type="dxa"/>
          </w:tcPr>
          <w:p w:rsidR="00266828" w:rsidRDefault="00266828" w:rsidP="00B611A1">
            <w:pPr>
              <w:ind w:left="709" w:hanging="426"/>
              <w:jc w:val="both"/>
              <w:rPr>
                <w:rFonts w:asciiTheme="majorBidi" w:hAnsiTheme="majorBidi" w:cstheme="majorBidi"/>
                <w:sz w:val="24"/>
                <w:szCs w:val="24"/>
              </w:rPr>
            </w:pPr>
          </w:p>
        </w:tc>
        <w:tc>
          <w:tcPr>
            <w:tcW w:w="3021" w:type="dxa"/>
          </w:tcPr>
          <w:p w:rsidR="00266828" w:rsidRPr="00266828" w:rsidRDefault="00266828" w:rsidP="00B611A1">
            <w:pPr>
              <w:ind w:left="709" w:hanging="426"/>
              <w:jc w:val="center"/>
              <w:rPr>
                <w:rFonts w:asciiTheme="majorBidi" w:hAnsiTheme="majorBidi" w:cstheme="majorBidi"/>
                <w:b/>
                <w:bCs/>
                <w:sz w:val="24"/>
                <w:szCs w:val="24"/>
              </w:rPr>
            </w:pPr>
            <w:r w:rsidRPr="00266828">
              <w:rPr>
                <w:rFonts w:asciiTheme="majorBidi" w:hAnsiTheme="majorBidi" w:cstheme="majorBidi"/>
                <w:b/>
                <w:bCs/>
                <w:sz w:val="24"/>
                <w:szCs w:val="24"/>
              </w:rPr>
              <w:t>Entreprise 1</w:t>
            </w:r>
          </w:p>
        </w:tc>
        <w:tc>
          <w:tcPr>
            <w:tcW w:w="3021" w:type="dxa"/>
          </w:tcPr>
          <w:p w:rsidR="00266828" w:rsidRPr="00266828" w:rsidRDefault="00266828" w:rsidP="00B611A1">
            <w:pPr>
              <w:ind w:left="709" w:hanging="426"/>
              <w:jc w:val="center"/>
              <w:rPr>
                <w:rFonts w:asciiTheme="majorBidi" w:hAnsiTheme="majorBidi" w:cstheme="majorBidi"/>
                <w:b/>
                <w:bCs/>
                <w:sz w:val="24"/>
                <w:szCs w:val="24"/>
              </w:rPr>
            </w:pPr>
            <w:r w:rsidRPr="00266828">
              <w:rPr>
                <w:rFonts w:asciiTheme="majorBidi" w:hAnsiTheme="majorBidi" w:cstheme="majorBidi"/>
                <w:b/>
                <w:bCs/>
                <w:sz w:val="24"/>
                <w:szCs w:val="24"/>
              </w:rPr>
              <w:t>Entreprise 2</w:t>
            </w:r>
          </w:p>
        </w:tc>
      </w:tr>
      <w:tr w:rsidR="00266828" w:rsidTr="00266828">
        <w:tc>
          <w:tcPr>
            <w:tcW w:w="3020" w:type="dxa"/>
          </w:tcPr>
          <w:p w:rsidR="00266828" w:rsidRDefault="00266828" w:rsidP="00B611A1">
            <w:pPr>
              <w:ind w:left="709" w:hanging="426"/>
              <w:jc w:val="both"/>
              <w:rPr>
                <w:rFonts w:asciiTheme="majorBidi" w:hAnsiTheme="majorBidi" w:cstheme="majorBidi"/>
                <w:sz w:val="24"/>
                <w:szCs w:val="24"/>
              </w:rPr>
            </w:pPr>
            <w:r>
              <w:rPr>
                <w:rFonts w:asciiTheme="majorBidi" w:hAnsiTheme="majorBidi" w:cstheme="majorBidi"/>
                <w:sz w:val="24"/>
                <w:szCs w:val="24"/>
              </w:rPr>
              <w:t>Achat HT</w:t>
            </w:r>
          </w:p>
        </w:tc>
        <w:tc>
          <w:tcPr>
            <w:tcW w:w="3021" w:type="dxa"/>
          </w:tcPr>
          <w:p w:rsidR="00266828" w:rsidRDefault="00266828" w:rsidP="00B611A1">
            <w:pPr>
              <w:ind w:left="709" w:hanging="426"/>
              <w:jc w:val="both"/>
              <w:rPr>
                <w:rFonts w:asciiTheme="majorBidi" w:hAnsiTheme="majorBidi" w:cstheme="majorBidi"/>
                <w:sz w:val="24"/>
                <w:szCs w:val="24"/>
              </w:rPr>
            </w:pPr>
            <w:r>
              <w:rPr>
                <w:rFonts w:asciiTheme="majorBidi" w:hAnsiTheme="majorBidi" w:cstheme="majorBidi"/>
                <w:sz w:val="24"/>
                <w:szCs w:val="24"/>
              </w:rPr>
              <w:t>100</w:t>
            </w:r>
          </w:p>
        </w:tc>
        <w:tc>
          <w:tcPr>
            <w:tcW w:w="3021" w:type="dxa"/>
          </w:tcPr>
          <w:p w:rsidR="00266828" w:rsidRDefault="00266828" w:rsidP="00B611A1">
            <w:pPr>
              <w:ind w:left="709" w:hanging="426"/>
              <w:jc w:val="both"/>
              <w:rPr>
                <w:rFonts w:asciiTheme="majorBidi" w:hAnsiTheme="majorBidi" w:cstheme="majorBidi"/>
                <w:sz w:val="24"/>
                <w:szCs w:val="24"/>
              </w:rPr>
            </w:pPr>
            <w:r>
              <w:rPr>
                <w:rFonts w:asciiTheme="majorBidi" w:hAnsiTheme="majorBidi" w:cstheme="majorBidi"/>
                <w:sz w:val="24"/>
                <w:szCs w:val="24"/>
              </w:rPr>
              <w:t>150</w:t>
            </w:r>
          </w:p>
        </w:tc>
      </w:tr>
      <w:tr w:rsidR="00266828" w:rsidTr="00266828">
        <w:tc>
          <w:tcPr>
            <w:tcW w:w="3020" w:type="dxa"/>
          </w:tcPr>
          <w:p w:rsidR="00266828" w:rsidRDefault="00266828" w:rsidP="00B611A1">
            <w:pPr>
              <w:ind w:left="709" w:hanging="426"/>
              <w:jc w:val="both"/>
              <w:rPr>
                <w:rFonts w:asciiTheme="majorBidi" w:hAnsiTheme="majorBidi" w:cstheme="majorBidi"/>
                <w:sz w:val="24"/>
                <w:szCs w:val="24"/>
              </w:rPr>
            </w:pPr>
            <w:r>
              <w:rPr>
                <w:rFonts w:asciiTheme="majorBidi" w:hAnsiTheme="majorBidi" w:cstheme="majorBidi"/>
                <w:sz w:val="24"/>
                <w:szCs w:val="24"/>
              </w:rPr>
              <w:t>Vente HT</w:t>
            </w:r>
          </w:p>
        </w:tc>
        <w:tc>
          <w:tcPr>
            <w:tcW w:w="3021" w:type="dxa"/>
          </w:tcPr>
          <w:p w:rsidR="00266828" w:rsidRDefault="00266828" w:rsidP="00B611A1">
            <w:pPr>
              <w:ind w:left="709" w:hanging="426"/>
              <w:jc w:val="both"/>
              <w:rPr>
                <w:rFonts w:asciiTheme="majorBidi" w:hAnsiTheme="majorBidi" w:cstheme="majorBidi"/>
                <w:sz w:val="24"/>
                <w:szCs w:val="24"/>
              </w:rPr>
            </w:pPr>
            <w:r>
              <w:rPr>
                <w:rFonts w:asciiTheme="majorBidi" w:hAnsiTheme="majorBidi" w:cstheme="majorBidi"/>
                <w:sz w:val="24"/>
                <w:szCs w:val="24"/>
              </w:rPr>
              <w:t>150</w:t>
            </w:r>
          </w:p>
        </w:tc>
        <w:tc>
          <w:tcPr>
            <w:tcW w:w="3021" w:type="dxa"/>
          </w:tcPr>
          <w:p w:rsidR="00266828" w:rsidRDefault="00266828" w:rsidP="00B611A1">
            <w:pPr>
              <w:ind w:left="709" w:hanging="426"/>
              <w:jc w:val="both"/>
              <w:rPr>
                <w:rFonts w:asciiTheme="majorBidi" w:hAnsiTheme="majorBidi" w:cstheme="majorBidi"/>
                <w:sz w:val="24"/>
                <w:szCs w:val="24"/>
              </w:rPr>
            </w:pPr>
            <w:r>
              <w:rPr>
                <w:rFonts w:asciiTheme="majorBidi" w:hAnsiTheme="majorBidi" w:cstheme="majorBidi"/>
                <w:sz w:val="24"/>
                <w:szCs w:val="24"/>
              </w:rPr>
              <w:t xml:space="preserve">240 </w:t>
            </w:r>
          </w:p>
        </w:tc>
      </w:tr>
      <w:tr w:rsidR="00266828" w:rsidTr="00266828">
        <w:tc>
          <w:tcPr>
            <w:tcW w:w="3020" w:type="dxa"/>
          </w:tcPr>
          <w:p w:rsidR="00266828" w:rsidRDefault="00266828" w:rsidP="00B611A1">
            <w:pPr>
              <w:ind w:left="709" w:hanging="426"/>
              <w:jc w:val="both"/>
              <w:rPr>
                <w:rFonts w:asciiTheme="majorBidi" w:hAnsiTheme="majorBidi" w:cstheme="majorBidi"/>
                <w:sz w:val="24"/>
                <w:szCs w:val="24"/>
              </w:rPr>
            </w:pPr>
            <w:r>
              <w:rPr>
                <w:rFonts w:asciiTheme="majorBidi" w:hAnsiTheme="majorBidi" w:cstheme="majorBidi"/>
                <w:sz w:val="24"/>
                <w:szCs w:val="24"/>
              </w:rPr>
              <w:t xml:space="preserve">Achat TTC </w:t>
            </w:r>
          </w:p>
        </w:tc>
        <w:tc>
          <w:tcPr>
            <w:tcW w:w="3021" w:type="dxa"/>
          </w:tcPr>
          <w:p w:rsidR="00266828" w:rsidRDefault="00266828" w:rsidP="00B611A1">
            <w:pPr>
              <w:ind w:left="709" w:hanging="426"/>
              <w:jc w:val="both"/>
              <w:rPr>
                <w:rFonts w:asciiTheme="majorBidi" w:hAnsiTheme="majorBidi" w:cstheme="majorBidi"/>
                <w:sz w:val="24"/>
                <w:szCs w:val="24"/>
              </w:rPr>
            </w:pPr>
          </w:p>
        </w:tc>
        <w:tc>
          <w:tcPr>
            <w:tcW w:w="3021" w:type="dxa"/>
          </w:tcPr>
          <w:p w:rsidR="00266828" w:rsidRDefault="00266828" w:rsidP="00B611A1">
            <w:pPr>
              <w:ind w:left="709" w:hanging="426"/>
              <w:jc w:val="both"/>
              <w:rPr>
                <w:rFonts w:asciiTheme="majorBidi" w:hAnsiTheme="majorBidi" w:cstheme="majorBidi"/>
                <w:sz w:val="24"/>
                <w:szCs w:val="24"/>
              </w:rPr>
            </w:pPr>
          </w:p>
        </w:tc>
      </w:tr>
      <w:tr w:rsidR="00266828" w:rsidTr="00266828">
        <w:tc>
          <w:tcPr>
            <w:tcW w:w="3020" w:type="dxa"/>
          </w:tcPr>
          <w:p w:rsidR="00266828" w:rsidRDefault="00266828" w:rsidP="00B611A1">
            <w:pPr>
              <w:ind w:left="709" w:hanging="426"/>
              <w:jc w:val="both"/>
              <w:rPr>
                <w:rFonts w:asciiTheme="majorBidi" w:hAnsiTheme="majorBidi" w:cstheme="majorBidi"/>
                <w:sz w:val="24"/>
                <w:szCs w:val="24"/>
              </w:rPr>
            </w:pPr>
            <w:r>
              <w:rPr>
                <w:rFonts w:asciiTheme="majorBidi" w:hAnsiTheme="majorBidi" w:cstheme="majorBidi"/>
                <w:sz w:val="24"/>
                <w:szCs w:val="24"/>
              </w:rPr>
              <w:t xml:space="preserve">Vente TTC </w:t>
            </w:r>
          </w:p>
        </w:tc>
        <w:tc>
          <w:tcPr>
            <w:tcW w:w="3021" w:type="dxa"/>
          </w:tcPr>
          <w:p w:rsidR="00266828" w:rsidRDefault="00266828" w:rsidP="00B611A1">
            <w:pPr>
              <w:ind w:left="709" w:hanging="426"/>
              <w:jc w:val="both"/>
              <w:rPr>
                <w:rFonts w:asciiTheme="majorBidi" w:hAnsiTheme="majorBidi" w:cstheme="majorBidi"/>
                <w:sz w:val="24"/>
                <w:szCs w:val="24"/>
              </w:rPr>
            </w:pPr>
          </w:p>
        </w:tc>
        <w:tc>
          <w:tcPr>
            <w:tcW w:w="3021" w:type="dxa"/>
          </w:tcPr>
          <w:p w:rsidR="00266828" w:rsidRDefault="00266828" w:rsidP="00B611A1">
            <w:pPr>
              <w:ind w:left="709" w:hanging="426"/>
              <w:jc w:val="both"/>
              <w:rPr>
                <w:rFonts w:asciiTheme="majorBidi" w:hAnsiTheme="majorBidi" w:cstheme="majorBidi"/>
                <w:sz w:val="24"/>
                <w:szCs w:val="24"/>
              </w:rPr>
            </w:pPr>
          </w:p>
        </w:tc>
      </w:tr>
      <w:tr w:rsidR="00266828" w:rsidTr="00266828">
        <w:tc>
          <w:tcPr>
            <w:tcW w:w="3020" w:type="dxa"/>
          </w:tcPr>
          <w:p w:rsidR="00266828" w:rsidRDefault="00266828" w:rsidP="00B611A1">
            <w:pPr>
              <w:ind w:left="709" w:hanging="426"/>
              <w:jc w:val="both"/>
              <w:rPr>
                <w:rFonts w:asciiTheme="majorBidi" w:hAnsiTheme="majorBidi" w:cstheme="majorBidi"/>
                <w:sz w:val="24"/>
                <w:szCs w:val="24"/>
              </w:rPr>
            </w:pPr>
            <w:r>
              <w:rPr>
                <w:rFonts w:asciiTheme="majorBidi" w:hAnsiTheme="majorBidi" w:cstheme="majorBidi"/>
                <w:sz w:val="24"/>
                <w:szCs w:val="24"/>
              </w:rPr>
              <w:t xml:space="preserve">TVA récupérable </w:t>
            </w:r>
          </w:p>
        </w:tc>
        <w:tc>
          <w:tcPr>
            <w:tcW w:w="3021" w:type="dxa"/>
          </w:tcPr>
          <w:p w:rsidR="00266828" w:rsidRDefault="00266828" w:rsidP="00B611A1">
            <w:pPr>
              <w:ind w:left="709" w:hanging="426"/>
              <w:jc w:val="both"/>
              <w:rPr>
                <w:rFonts w:asciiTheme="majorBidi" w:hAnsiTheme="majorBidi" w:cstheme="majorBidi"/>
                <w:sz w:val="24"/>
                <w:szCs w:val="24"/>
              </w:rPr>
            </w:pPr>
          </w:p>
        </w:tc>
        <w:tc>
          <w:tcPr>
            <w:tcW w:w="3021" w:type="dxa"/>
          </w:tcPr>
          <w:p w:rsidR="00266828" w:rsidRDefault="00266828" w:rsidP="00B611A1">
            <w:pPr>
              <w:ind w:left="709" w:hanging="426"/>
              <w:jc w:val="both"/>
              <w:rPr>
                <w:rFonts w:asciiTheme="majorBidi" w:hAnsiTheme="majorBidi" w:cstheme="majorBidi"/>
                <w:sz w:val="24"/>
                <w:szCs w:val="24"/>
              </w:rPr>
            </w:pPr>
          </w:p>
        </w:tc>
      </w:tr>
      <w:tr w:rsidR="00266828" w:rsidTr="00266828">
        <w:tc>
          <w:tcPr>
            <w:tcW w:w="3020" w:type="dxa"/>
          </w:tcPr>
          <w:p w:rsidR="00266828" w:rsidRDefault="00266828" w:rsidP="00B611A1">
            <w:pPr>
              <w:ind w:left="709" w:hanging="426"/>
              <w:jc w:val="both"/>
              <w:rPr>
                <w:rFonts w:asciiTheme="majorBidi" w:hAnsiTheme="majorBidi" w:cstheme="majorBidi"/>
                <w:sz w:val="24"/>
                <w:szCs w:val="24"/>
              </w:rPr>
            </w:pPr>
            <w:r>
              <w:rPr>
                <w:rFonts w:asciiTheme="majorBidi" w:hAnsiTheme="majorBidi" w:cstheme="majorBidi"/>
                <w:sz w:val="24"/>
                <w:szCs w:val="24"/>
              </w:rPr>
              <w:t xml:space="preserve">TVA facturée </w:t>
            </w:r>
          </w:p>
        </w:tc>
        <w:tc>
          <w:tcPr>
            <w:tcW w:w="3021" w:type="dxa"/>
          </w:tcPr>
          <w:p w:rsidR="00266828" w:rsidRDefault="00266828" w:rsidP="00B611A1">
            <w:pPr>
              <w:ind w:left="709" w:hanging="426"/>
              <w:jc w:val="both"/>
              <w:rPr>
                <w:rFonts w:asciiTheme="majorBidi" w:hAnsiTheme="majorBidi" w:cstheme="majorBidi"/>
                <w:sz w:val="24"/>
                <w:szCs w:val="24"/>
              </w:rPr>
            </w:pPr>
          </w:p>
        </w:tc>
        <w:tc>
          <w:tcPr>
            <w:tcW w:w="3021" w:type="dxa"/>
          </w:tcPr>
          <w:p w:rsidR="00266828" w:rsidRDefault="00266828" w:rsidP="00B611A1">
            <w:pPr>
              <w:ind w:left="709" w:hanging="426"/>
              <w:jc w:val="both"/>
              <w:rPr>
                <w:rFonts w:asciiTheme="majorBidi" w:hAnsiTheme="majorBidi" w:cstheme="majorBidi"/>
                <w:sz w:val="24"/>
                <w:szCs w:val="24"/>
              </w:rPr>
            </w:pPr>
          </w:p>
        </w:tc>
      </w:tr>
      <w:tr w:rsidR="00266828" w:rsidTr="00266828">
        <w:tc>
          <w:tcPr>
            <w:tcW w:w="3020" w:type="dxa"/>
          </w:tcPr>
          <w:p w:rsidR="00266828" w:rsidRDefault="00266828" w:rsidP="00B611A1">
            <w:pPr>
              <w:ind w:left="709" w:hanging="426"/>
              <w:jc w:val="both"/>
              <w:rPr>
                <w:rFonts w:asciiTheme="majorBidi" w:hAnsiTheme="majorBidi" w:cstheme="majorBidi"/>
                <w:sz w:val="24"/>
                <w:szCs w:val="24"/>
              </w:rPr>
            </w:pPr>
            <w:r>
              <w:rPr>
                <w:rFonts w:asciiTheme="majorBidi" w:hAnsiTheme="majorBidi" w:cstheme="majorBidi"/>
                <w:sz w:val="24"/>
                <w:szCs w:val="24"/>
              </w:rPr>
              <w:t xml:space="preserve">TVA à payer </w:t>
            </w:r>
          </w:p>
        </w:tc>
        <w:tc>
          <w:tcPr>
            <w:tcW w:w="3021" w:type="dxa"/>
          </w:tcPr>
          <w:p w:rsidR="00266828" w:rsidRDefault="00266828" w:rsidP="00B611A1">
            <w:pPr>
              <w:ind w:left="709" w:hanging="426"/>
              <w:jc w:val="both"/>
              <w:rPr>
                <w:rFonts w:asciiTheme="majorBidi" w:hAnsiTheme="majorBidi" w:cstheme="majorBidi"/>
                <w:sz w:val="24"/>
                <w:szCs w:val="24"/>
              </w:rPr>
            </w:pPr>
          </w:p>
        </w:tc>
        <w:tc>
          <w:tcPr>
            <w:tcW w:w="3021" w:type="dxa"/>
          </w:tcPr>
          <w:p w:rsidR="00266828" w:rsidRDefault="00266828" w:rsidP="00B611A1">
            <w:pPr>
              <w:ind w:left="709" w:hanging="426"/>
              <w:jc w:val="both"/>
              <w:rPr>
                <w:rFonts w:asciiTheme="majorBidi" w:hAnsiTheme="majorBidi" w:cstheme="majorBidi"/>
                <w:sz w:val="24"/>
                <w:szCs w:val="24"/>
              </w:rPr>
            </w:pPr>
          </w:p>
        </w:tc>
      </w:tr>
      <w:tr w:rsidR="00266828" w:rsidTr="00266828">
        <w:tc>
          <w:tcPr>
            <w:tcW w:w="3020" w:type="dxa"/>
          </w:tcPr>
          <w:p w:rsidR="00266828" w:rsidRDefault="00266828" w:rsidP="00B611A1">
            <w:pPr>
              <w:ind w:left="709" w:hanging="426"/>
              <w:jc w:val="both"/>
              <w:rPr>
                <w:rFonts w:asciiTheme="majorBidi" w:hAnsiTheme="majorBidi" w:cstheme="majorBidi"/>
                <w:sz w:val="24"/>
                <w:szCs w:val="24"/>
              </w:rPr>
            </w:pPr>
            <w:r>
              <w:rPr>
                <w:rFonts w:asciiTheme="majorBidi" w:hAnsiTheme="majorBidi" w:cstheme="majorBidi"/>
                <w:sz w:val="24"/>
                <w:szCs w:val="24"/>
              </w:rPr>
              <w:t xml:space="preserve">Valeur Ajoutée </w:t>
            </w:r>
          </w:p>
          <w:p w:rsidR="00266828" w:rsidRDefault="00266828" w:rsidP="00B611A1">
            <w:pPr>
              <w:ind w:left="709" w:hanging="426"/>
              <w:jc w:val="both"/>
              <w:rPr>
                <w:rFonts w:asciiTheme="majorBidi" w:hAnsiTheme="majorBidi" w:cstheme="majorBidi"/>
                <w:sz w:val="24"/>
                <w:szCs w:val="24"/>
              </w:rPr>
            </w:pPr>
            <w:r>
              <w:rPr>
                <w:rFonts w:asciiTheme="majorBidi" w:hAnsiTheme="majorBidi" w:cstheme="majorBidi"/>
                <w:sz w:val="24"/>
                <w:szCs w:val="24"/>
              </w:rPr>
              <w:t xml:space="preserve">TVA=VA x Taux </w:t>
            </w:r>
          </w:p>
        </w:tc>
        <w:tc>
          <w:tcPr>
            <w:tcW w:w="3021" w:type="dxa"/>
          </w:tcPr>
          <w:p w:rsidR="00266828" w:rsidRDefault="00266828" w:rsidP="00B611A1">
            <w:pPr>
              <w:ind w:left="709" w:hanging="426"/>
              <w:jc w:val="both"/>
              <w:rPr>
                <w:rFonts w:asciiTheme="majorBidi" w:hAnsiTheme="majorBidi" w:cstheme="majorBidi"/>
                <w:sz w:val="24"/>
                <w:szCs w:val="24"/>
              </w:rPr>
            </w:pPr>
          </w:p>
        </w:tc>
        <w:tc>
          <w:tcPr>
            <w:tcW w:w="3021" w:type="dxa"/>
          </w:tcPr>
          <w:p w:rsidR="00266828" w:rsidRDefault="00266828" w:rsidP="00B611A1">
            <w:pPr>
              <w:ind w:left="709" w:hanging="426"/>
              <w:jc w:val="both"/>
              <w:rPr>
                <w:rFonts w:asciiTheme="majorBidi" w:hAnsiTheme="majorBidi" w:cstheme="majorBidi"/>
                <w:sz w:val="24"/>
                <w:szCs w:val="24"/>
              </w:rPr>
            </w:pPr>
          </w:p>
        </w:tc>
      </w:tr>
    </w:tbl>
    <w:p w:rsidR="00266828" w:rsidRDefault="00266828" w:rsidP="00B611A1">
      <w:pPr>
        <w:ind w:left="709" w:hanging="426"/>
        <w:jc w:val="both"/>
        <w:rPr>
          <w:rFonts w:asciiTheme="majorBidi" w:hAnsiTheme="majorBidi" w:cstheme="majorBidi"/>
          <w:sz w:val="24"/>
          <w:szCs w:val="24"/>
        </w:rPr>
      </w:pPr>
    </w:p>
    <w:p w:rsidR="00266828" w:rsidRPr="00266828" w:rsidRDefault="00266828" w:rsidP="00B611A1">
      <w:pPr>
        <w:pStyle w:val="Paragraphedeliste"/>
        <w:numPr>
          <w:ilvl w:val="0"/>
          <w:numId w:val="3"/>
        </w:numPr>
        <w:ind w:left="709" w:hanging="426"/>
        <w:jc w:val="both"/>
        <w:rPr>
          <w:rFonts w:asciiTheme="majorBidi" w:hAnsiTheme="majorBidi" w:cstheme="majorBidi"/>
          <w:b/>
          <w:bCs/>
          <w:sz w:val="24"/>
          <w:szCs w:val="24"/>
        </w:rPr>
      </w:pPr>
      <w:r w:rsidRPr="00266828">
        <w:rPr>
          <w:rFonts w:asciiTheme="majorBidi" w:hAnsiTheme="majorBidi" w:cstheme="majorBidi"/>
          <w:b/>
          <w:bCs/>
          <w:sz w:val="24"/>
          <w:szCs w:val="24"/>
        </w:rPr>
        <w:t xml:space="preserve">Le champ d’application </w:t>
      </w:r>
    </w:p>
    <w:p w:rsidR="008B7A36" w:rsidRPr="00B611A1" w:rsidRDefault="008B7A36" w:rsidP="00B611A1">
      <w:pPr>
        <w:spacing w:before="120" w:after="120"/>
        <w:ind w:left="426" w:hanging="426"/>
        <w:jc w:val="both"/>
        <w:rPr>
          <w:rFonts w:asciiTheme="majorBidi" w:hAnsiTheme="majorBidi" w:cstheme="majorBidi"/>
          <w:sz w:val="24"/>
          <w:szCs w:val="24"/>
        </w:rPr>
      </w:pPr>
      <w:r w:rsidRPr="00B611A1">
        <w:rPr>
          <w:rFonts w:asciiTheme="majorBidi" w:hAnsiTheme="majorBidi" w:cstheme="majorBidi"/>
          <w:sz w:val="24"/>
          <w:szCs w:val="24"/>
        </w:rPr>
        <w:t>La taxe sur la valeur ajoutée s'applique aux :</w:t>
      </w:r>
    </w:p>
    <w:p w:rsidR="00AB229E" w:rsidRPr="00B611A1" w:rsidRDefault="00AB229E" w:rsidP="00B611A1">
      <w:pPr>
        <w:pStyle w:val="Paragraphedeliste"/>
        <w:numPr>
          <w:ilvl w:val="0"/>
          <w:numId w:val="14"/>
        </w:numPr>
        <w:ind w:left="426" w:hanging="426"/>
        <w:jc w:val="both"/>
        <w:rPr>
          <w:rFonts w:asciiTheme="majorBidi" w:hAnsiTheme="majorBidi" w:cstheme="majorBidi"/>
          <w:sz w:val="24"/>
          <w:szCs w:val="24"/>
        </w:rPr>
      </w:pPr>
      <w:r w:rsidRPr="00B611A1">
        <w:rPr>
          <w:rFonts w:asciiTheme="majorBidi" w:hAnsiTheme="majorBidi" w:cstheme="majorBidi"/>
          <w:sz w:val="24"/>
          <w:szCs w:val="24"/>
        </w:rPr>
        <w:t xml:space="preserve"> activités à caractère industriel, commercial, ou artisanal, ainsi que les professions libérales, et ce quelle que soit la nationalité ou le statut juridique des personnes exerçant lesdites activités. </w:t>
      </w:r>
    </w:p>
    <w:p w:rsidR="008B7A36" w:rsidRPr="00B611A1" w:rsidRDefault="008B7A36" w:rsidP="00B611A1">
      <w:pPr>
        <w:numPr>
          <w:ilvl w:val="0"/>
          <w:numId w:val="14"/>
        </w:numPr>
        <w:spacing w:after="0" w:line="240" w:lineRule="auto"/>
        <w:ind w:left="426" w:hanging="426"/>
        <w:jc w:val="both"/>
        <w:rPr>
          <w:rFonts w:asciiTheme="majorBidi" w:hAnsiTheme="majorBidi" w:cstheme="majorBidi"/>
          <w:sz w:val="24"/>
          <w:szCs w:val="24"/>
        </w:rPr>
      </w:pPr>
      <w:r w:rsidRPr="00B611A1">
        <w:rPr>
          <w:rFonts w:asciiTheme="majorBidi" w:hAnsiTheme="majorBidi" w:cstheme="majorBidi"/>
          <w:sz w:val="24"/>
          <w:szCs w:val="24"/>
        </w:rPr>
        <w:t>Opérations d'importation.</w:t>
      </w:r>
    </w:p>
    <w:p w:rsidR="008B7A36" w:rsidRPr="00B611A1" w:rsidRDefault="008B7A36" w:rsidP="00B611A1">
      <w:pPr>
        <w:ind w:left="426" w:hanging="426"/>
        <w:jc w:val="both"/>
        <w:rPr>
          <w:rFonts w:asciiTheme="majorBidi" w:hAnsiTheme="majorBidi" w:cstheme="majorBidi"/>
          <w:sz w:val="24"/>
          <w:szCs w:val="24"/>
        </w:rPr>
      </w:pPr>
    </w:p>
    <w:p w:rsidR="00296F18" w:rsidRPr="00B611A1" w:rsidRDefault="00B611A1" w:rsidP="00B611A1">
      <w:pPr>
        <w:ind w:left="426" w:hanging="426"/>
        <w:jc w:val="both"/>
        <w:rPr>
          <w:rFonts w:asciiTheme="majorBidi" w:hAnsiTheme="majorBidi" w:cstheme="majorBidi"/>
          <w:sz w:val="24"/>
          <w:szCs w:val="24"/>
        </w:rPr>
      </w:pPr>
      <w:r w:rsidRPr="00B611A1">
        <w:rPr>
          <w:rFonts w:asciiTheme="majorBidi" w:hAnsiTheme="majorBidi" w:cstheme="majorBidi"/>
          <w:sz w:val="24"/>
          <w:szCs w:val="24"/>
        </w:rPr>
        <w:t>Sont</w:t>
      </w:r>
      <w:r w:rsidR="00296F18" w:rsidRPr="00B611A1">
        <w:rPr>
          <w:rFonts w:asciiTheme="majorBidi" w:hAnsiTheme="majorBidi" w:cstheme="majorBidi"/>
          <w:sz w:val="24"/>
          <w:szCs w:val="24"/>
        </w:rPr>
        <w:t xml:space="preserve"> </w:t>
      </w:r>
      <w:r w:rsidR="00296F18" w:rsidRPr="00B611A1">
        <w:rPr>
          <w:rFonts w:asciiTheme="majorBidi" w:hAnsiTheme="majorBidi" w:cstheme="majorBidi"/>
          <w:b/>
          <w:bCs/>
          <w:sz w:val="24"/>
          <w:szCs w:val="24"/>
        </w:rPr>
        <w:t xml:space="preserve">exclues </w:t>
      </w:r>
      <w:r w:rsidR="00296F18" w:rsidRPr="00B611A1">
        <w:rPr>
          <w:rFonts w:asciiTheme="majorBidi" w:hAnsiTheme="majorBidi" w:cstheme="majorBidi"/>
          <w:sz w:val="24"/>
          <w:szCs w:val="24"/>
        </w:rPr>
        <w:t xml:space="preserve">du champ d’application de la </w:t>
      </w:r>
      <w:r w:rsidRPr="00B611A1">
        <w:rPr>
          <w:rFonts w:asciiTheme="majorBidi" w:hAnsiTheme="majorBidi" w:cstheme="majorBidi"/>
          <w:sz w:val="24"/>
          <w:szCs w:val="24"/>
        </w:rPr>
        <w:t>TVA </w:t>
      </w:r>
      <w:r>
        <w:rPr>
          <w:rFonts w:asciiTheme="majorBidi" w:hAnsiTheme="majorBidi" w:cstheme="majorBidi"/>
          <w:sz w:val="24"/>
          <w:szCs w:val="24"/>
        </w:rPr>
        <w:t>(hors champ)</w:t>
      </w:r>
      <w:r w:rsidR="00296F18" w:rsidRPr="00B611A1">
        <w:rPr>
          <w:rFonts w:asciiTheme="majorBidi" w:hAnsiTheme="majorBidi" w:cstheme="majorBidi"/>
          <w:sz w:val="24"/>
          <w:szCs w:val="24"/>
        </w:rPr>
        <w:t xml:space="preserve">: </w:t>
      </w:r>
    </w:p>
    <w:p w:rsidR="00296F18" w:rsidRPr="00B611A1" w:rsidRDefault="00B611A1" w:rsidP="00B611A1">
      <w:pPr>
        <w:pStyle w:val="Paragraphedeliste"/>
        <w:numPr>
          <w:ilvl w:val="0"/>
          <w:numId w:val="6"/>
        </w:numPr>
        <w:ind w:left="426" w:hanging="426"/>
        <w:jc w:val="both"/>
        <w:rPr>
          <w:rFonts w:asciiTheme="majorBidi" w:hAnsiTheme="majorBidi" w:cstheme="majorBidi"/>
          <w:sz w:val="24"/>
          <w:szCs w:val="24"/>
        </w:rPr>
      </w:pPr>
      <w:r w:rsidRPr="00B611A1">
        <w:rPr>
          <w:rFonts w:asciiTheme="majorBidi" w:hAnsiTheme="majorBidi" w:cstheme="majorBidi"/>
          <w:sz w:val="24"/>
          <w:szCs w:val="24"/>
        </w:rPr>
        <w:t>Les</w:t>
      </w:r>
      <w:r w:rsidR="00296F18" w:rsidRPr="00B611A1">
        <w:rPr>
          <w:rFonts w:asciiTheme="majorBidi" w:hAnsiTheme="majorBidi" w:cstheme="majorBidi"/>
          <w:sz w:val="24"/>
          <w:szCs w:val="24"/>
        </w:rPr>
        <w:t xml:space="preserve"> opérations agricoles : les ventes de produits agricoles sont exclues du champ d’application de la TVA à condition que les dits produits ne subissent aucune transformation se situant en dehors di prolongement normal de l’activité agricole (utilisation de procédés industriels par exemple) </w:t>
      </w:r>
    </w:p>
    <w:p w:rsidR="00B611A1" w:rsidRDefault="00296F18" w:rsidP="00B611A1">
      <w:pPr>
        <w:pStyle w:val="Paragraphedeliste"/>
        <w:numPr>
          <w:ilvl w:val="0"/>
          <w:numId w:val="6"/>
        </w:numPr>
        <w:ind w:left="426" w:hanging="426"/>
        <w:jc w:val="both"/>
        <w:rPr>
          <w:rFonts w:asciiTheme="majorBidi" w:hAnsiTheme="majorBidi" w:cstheme="majorBidi"/>
          <w:sz w:val="24"/>
          <w:szCs w:val="24"/>
        </w:rPr>
      </w:pPr>
      <w:r w:rsidRPr="00B611A1">
        <w:rPr>
          <w:rFonts w:asciiTheme="majorBidi" w:hAnsiTheme="majorBidi" w:cstheme="majorBidi"/>
          <w:sz w:val="24"/>
          <w:szCs w:val="24"/>
        </w:rPr>
        <w:t>- les opérations civiles qui concernent tous les actes pourvus du caractère industriel, commerci</w:t>
      </w:r>
      <w:r w:rsidR="00B611A1">
        <w:rPr>
          <w:rFonts w:asciiTheme="majorBidi" w:hAnsiTheme="majorBidi" w:cstheme="majorBidi"/>
          <w:sz w:val="24"/>
          <w:szCs w:val="24"/>
        </w:rPr>
        <w:t>al ou de prestation de service</w:t>
      </w:r>
    </w:p>
    <w:p w:rsidR="00296F18" w:rsidRPr="00B611A1" w:rsidRDefault="003E2B95" w:rsidP="00B611A1">
      <w:pPr>
        <w:jc w:val="both"/>
        <w:rPr>
          <w:rFonts w:asciiTheme="majorBidi" w:hAnsiTheme="majorBidi" w:cstheme="majorBidi"/>
          <w:sz w:val="24"/>
          <w:szCs w:val="24"/>
        </w:rPr>
      </w:pPr>
      <w:r w:rsidRPr="00B611A1">
        <w:rPr>
          <w:rFonts w:asciiTheme="majorBidi" w:hAnsiTheme="majorBidi" w:cstheme="majorBidi"/>
          <w:sz w:val="24"/>
          <w:szCs w:val="24"/>
        </w:rPr>
        <w:t>Les</w:t>
      </w:r>
      <w:r w:rsidR="00296F18" w:rsidRPr="00B611A1">
        <w:rPr>
          <w:rFonts w:asciiTheme="majorBidi" w:hAnsiTheme="majorBidi" w:cstheme="majorBidi"/>
          <w:sz w:val="24"/>
          <w:szCs w:val="24"/>
        </w:rPr>
        <w:t xml:space="preserve"> opérations qui entrent dans le champ d’application de la TVA sont soit, imposable, soit, exonérées. </w:t>
      </w:r>
      <w:r w:rsidRPr="00B611A1">
        <w:rPr>
          <w:rFonts w:asciiTheme="majorBidi" w:hAnsiTheme="majorBidi" w:cstheme="majorBidi"/>
          <w:sz w:val="24"/>
          <w:szCs w:val="24"/>
        </w:rPr>
        <w:t>Certaines</w:t>
      </w:r>
      <w:r w:rsidR="00296F18" w:rsidRPr="00B611A1">
        <w:rPr>
          <w:rFonts w:asciiTheme="majorBidi" w:hAnsiTheme="majorBidi" w:cstheme="majorBidi"/>
          <w:sz w:val="24"/>
          <w:szCs w:val="24"/>
        </w:rPr>
        <w:t xml:space="preserve"> opérations exonérées peuvent faire l’objet d’une option pour la taxe ; </w:t>
      </w:r>
    </w:p>
    <w:p w:rsidR="00296F18" w:rsidRPr="00B611A1" w:rsidRDefault="00B611A1" w:rsidP="00B611A1">
      <w:pPr>
        <w:pStyle w:val="Paragraphedeliste"/>
        <w:numPr>
          <w:ilvl w:val="1"/>
          <w:numId w:val="14"/>
        </w:numPr>
        <w:ind w:left="993" w:hanging="426"/>
        <w:jc w:val="both"/>
        <w:rPr>
          <w:rFonts w:asciiTheme="majorBidi" w:hAnsiTheme="majorBidi" w:cstheme="majorBidi"/>
          <w:b/>
          <w:bCs/>
          <w:sz w:val="24"/>
          <w:szCs w:val="24"/>
          <w:u w:val="single"/>
        </w:rPr>
      </w:pPr>
      <w:r w:rsidRPr="00B611A1">
        <w:rPr>
          <w:rFonts w:asciiTheme="majorBidi" w:hAnsiTheme="majorBidi" w:cstheme="majorBidi"/>
          <w:b/>
          <w:bCs/>
          <w:sz w:val="24"/>
          <w:szCs w:val="24"/>
          <w:u w:val="single"/>
        </w:rPr>
        <w:t>Les</w:t>
      </w:r>
      <w:r w:rsidR="00AB229E" w:rsidRPr="00B611A1">
        <w:rPr>
          <w:rFonts w:asciiTheme="majorBidi" w:hAnsiTheme="majorBidi" w:cstheme="majorBidi"/>
          <w:b/>
          <w:bCs/>
          <w:sz w:val="24"/>
          <w:szCs w:val="24"/>
          <w:u w:val="single"/>
        </w:rPr>
        <w:t xml:space="preserve"> opérations imposables </w:t>
      </w:r>
    </w:p>
    <w:p w:rsidR="00296F18" w:rsidRPr="00B611A1" w:rsidRDefault="003E2B95" w:rsidP="00B611A1">
      <w:pPr>
        <w:ind w:left="426" w:hanging="426"/>
        <w:jc w:val="both"/>
        <w:rPr>
          <w:rFonts w:asciiTheme="majorBidi" w:hAnsiTheme="majorBidi" w:cstheme="majorBidi"/>
          <w:sz w:val="24"/>
          <w:szCs w:val="24"/>
        </w:rPr>
      </w:pPr>
      <w:r w:rsidRPr="00B611A1">
        <w:rPr>
          <w:rFonts w:asciiTheme="majorBidi" w:hAnsiTheme="majorBidi" w:cstheme="majorBidi"/>
          <w:sz w:val="24"/>
          <w:szCs w:val="24"/>
        </w:rPr>
        <w:t>Sont</w:t>
      </w:r>
      <w:r w:rsidR="00296F18" w:rsidRPr="00B611A1">
        <w:rPr>
          <w:rFonts w:asciiTheme="majorBidi" w:hAnsiTheme="majorBidi" w:cstheme="majorBidi"/>
          <w:sz w:val="24"/>
          <w:szCs w:val="24"/>
        </w:rPr>
        <w:t xml:space="preserve"> obligatoirement imposables à la TVA : </w:t>
      </w:r>
    </w:p>
    <w:p w:rsidR="00AB229E" w:rsidRPr="00B611A1" w:rsidRDefault="00AB229E" w:rsidP="00B611A1">
      <w:pPr>
        <w:pStyle w:val="Paragraphedeliste"/>
        <w:numPr>
          <w:ilvl w:val="0"/>
          <w:numId w:val="10"/>
        </w:numPr>
        <w:ind w:left="426" w:hanging="426"/>
        <w:jc w:val="both"/>
        <w:rPr>
          <w:rFonts w:asciiTheme="majorBidi" w:hAnsiTheme="majorBidi" w:cstheme="majorBidi"/>
          <w:sz w:val="24"/>
          <w:szCs w:val="24"/>
        </w:rPr>
      </w:pPr>
      <w:r w:rsidRPr="00B611A1">
        <w:rPr>
          <w:rFonts w:asciiTheme="majorBidi" w:hAnsiTheme="majorBidi" w:cstheme="majorBidi"/>
          <w:sz w:val="24"/>
          <w:szCs w:val="24"/>
        </w:rPr>
        <w:t xml:space="preserve">Les ventes et les livraisons réalisées par les entreprises industrielles et les importateurs </w:t>
      </w:r>
    </w:p>
    <w:p w:rsidR="0081689D" w:rsidRDefault="007D5954" w:rsidP="00B611A1">
      <w:pPr>
        <w:pStyle w:val="Paragraphedeliste"/>
        <w:numPr>
          <w:ilvl w:val="0"/>
          <w:numId w:val="10"/>
        </w:numPr>
        <w:ind w:left="426" w:hanging="426"/>
        <w:jc w:val="both"/>
        <w:rPr>
          <w:rFonts w:asciiTheme="majorBidi" w:hAnsiTheme="majorBidi" w:cstheme="majorBidi"/>
          <w:sz w:val="24"/>
          <w:szCs w:val="24"/>
        </w:rPr>
      </w:pPr>
      <w:r w:rsidRPr="00B611A1">
        <w:rPr>
          <w:rFonts w:asciiTheme="majorBidi" w:hAnsiTheme="majorBidi" w:cstheme="majorBidi"/>
          <w:sz w:val="24"/>
          <w:szCs w:val="24"/>
        </w:rPr>
        <w:t>Les</w:t>
      </w:r>
      <w:r w:rsidR="003E2B95" w:rsidRPr="00B611A1">
        <w:rPr>
          <w:rFonts w:asciiTheme="majorBidi" w:hAnsiTheme="majorBidi" w:cstheme="majorBidi"/>
          <w:sz w:val="24"/>
          <w:szCs w:val="24"/>
        </w:rPr>
        <w:t xml:space="preserve"> ventes et livraisons en l’état réalisées par les </w:t>
      </w:r>
      <w:r w:rsidRPr="00B611A1">
        <w:rPr>
          <w:rFonts w:asciiTheme="majorBidi" w:hAnsiTheme="majorBidi" w:cstheme="majorBidi"/>
          <w:sz w:val="24"/>
          <w:szCs w:val="24"/>
        </w:rPr>
        <w:t>commerçants</w:t>
      </w:r>
      <w:r w:rsidR="003E2B95" w:rsidRPr="00B611A1">
        <w:rPr>
          <w:rFonts w:asciiTheme="majorBidi" w:hAnsiTheme="majorBidi" w:cstheme="majorBidi"/>
          <w:sz w:val="24"/>
          <w:szCs w:val="24"/>
        </w:rPr>
        <w:t xml:space="preserve"> grossistes inscrits à la taxe </w:t>
      </w:r>
      <w:r w:rsidRPr="00B611A1">
        <w:rPr>
          <w:rFonts w:asciiTheme="majorBidi" w:hAnsiTheme="majorBidi" w:cstheme="majorBidi"/>
          <w:sz w:val="24"/>
          <w:szCs w:val="24"/>
        </w:rPr>
        <w:t>professionnelles</w:t>
      </w:r>
      <w:r w:rsidR="003E2B95" w:rsidRPr="00B611A1">
        <w:rPr>
          <w:rFonts w:asciiTheme="majorBidi" w:hAnsiTheme="majorBidi" w:cstheme="majorBidi"/>
          <w:sz w:val="24"/>
          <w:szCs w:val="24"/>
        </w:rPr>
        <w:t xml:space="preserve"> </w:t>
      </w:r>
    </w:p>
    <w:p w:rsidR="00B611A1" w:rsidRDefault="0081689D" w:rsidP="00B611A1">
      <w:pPr>
        <w:pStyle w:val="Paragraphedeliste"/>
        <w:numPr>
          <w:ilvl w:val="0"/>
          <w:numId w:val="10"/>
        </w:numPr>
        <w:ind w:left="426" w:hanging="426"/>
        <w:jc w:val="both"/>
        <w:rPr>
          <w:rFonts w:asciiTheme="majorBidi" w:hAnsiTheme="majorBidi" w:cstheme="majorBidi"/>
          <w:sz w:val="24"/>
          <w:szCs w:val="24"/>
        </w:rPr>
      </w:pPr>
      <w:proofErr w:type="gramStart"/>
      <w:r>
        <w:rPr>
          <w:rFonts w:asciiTheme="majorBidi" w:hAnsiTheme="majorBidi" w:cstheme="majorBidi"/>
          <w:sz w:val="24"/>
          <w:szCs w:val="24"/>
        </w:rPr>
        <w:t>les</w:t>
      </w:r>
      <w:proofErr w:type="gramEnd"/>
      <w:r>
        <w:rPr>
          <w:rFonts w:asciiTheme="majorBidi" w:hAnsiTheme="majorBidi" w:cstheme="majorBidi"/>
          <w:sz w:val="24"/>
          <w:szCs w:val="24"/>
        </w:rPr>
        <w:t xml:space="preserve"> commerçants de détail, non inscrit en tant que grossiste à la taxe professionnelle et dont </w:t>
      </w:r>
      <w:r w:rsidR="00F96520">
        <w:rPr>
          <w:rFonts w:asciiTheme="majorBidi" w:hAnsiTheme="majorBidi" w:cstheme="majorBidi"/>
          <w:sz w:val="24"/>
          <w:szCs w:val="24"/>
        </w:rPr>
        <w:t>le chiffre affaire HT est supérieure ou égal à 2 000 000 DH</w:t>
      </w:r>
    </w:p>
    <w:p w:rsidR="00B611A1" w:rsidRDefault="00AB229E" w:rsidP="00B611A1">
      <w:pPr>
        <w:pStyle w:val="Paragraphedeliste"/>
        <w:numPr>
          <w:ilvl w:val="0"/>
          <w:numId w:val="10"/>
        </w:numPr>
        <w:ind w:left="426" w:hanging="426"/>
        <w:jc w:val="both"/>
        <w:rPr>
          <w:rFonts w:asciiTheme="majorBidi" w:hAnsiTheme="majorBidi" w:cstheme="majorBidi"/>
          <w:sz w:val="24"/>
          <w:szCs w:val="24"/>
        </w:rPr>
      </w:pPr>
      <w:r w:rsidRPr="00B611A1">
        <w:rPr>
          <w:rFonts w:asciiTheme="majorBidi" w:hAnsiTheme="majorBidi" w:cstheme="majorBidi"/>
          <w:sz w:val="24"/>
          <w:szCs w:val="24"/>
        </w:rPr>
        <w:t xml:space="preserve">Les travaux immobiliers, les opérations de lotissement et de promotion immobilière </w:t>
      </w:r>
    </w:p>
    <w:p w:rsidR="005F71D8" w:rsidRPr="00B611A1" w:rsidRDefault="00B611A1" w:rsidP="00B611A1">
      <w:pPr>
        <w:pStyle w:val="Paragraphedeliste"/>
        <w:numPr>
          <w:ilvl w:val="0"/>
          <w:numId w:val="10"/>
        </w:numPr>
        <w:ind w:left="426" w:hanging="426"/>
        <w:jc w:val="both"/>
        <w:rPr>
          <w:rFonts w:asciiTheme="majorBidi" w:hAnsiTheme="majorBidi" w:cstheme="majorBidi"/>
          <w:sz w:val="24"/>
          <w:szCs w:val="24"/>
        </w:rPr>
      </w:pPr>
      <w:r w:rsidRPr="00B611A1">
        <w:rPr>
          <w:rFonts w:asciiTheme="majorBidi" w:hAnsiTheme="majorBidi" w:cstheme="majorBidi"/>
          <w:sz w:val="24"/>
          <w:szCs w:val="24"/>
        </w:rPr>
        <w:t>Les</w:t>
      </w:r>
      <w:r w:rsidR="005F71D8" w:rsidRPr="00B611A1">
        <w:rPr>
          <w:rFonts w:asciiTheme="majorBidi" w:hAnsiTheme="majorBidi" w:cstheme="majorBidi"/>
          <w:sz w:val="24"/>
          <w:szCs w:val="24"/>
        </w:rPr>
        <w:t xml:space="preserve"> livraisons à </w:t>
      </w:r>
      <w:r w:rsidRPr="00B611A1">
        <w:rPr>
          <w:rFonts w:asciiTheme="majorBidi" w:hAnsiTheme="majorBidi" w:cstheme="majorBidi"/>
          <w:sz w:val="24"/>
          <w:szCs w:val="24"/>
        </w:rPr>
        <w:t>soi-même</w:t>
      </w:r>
      <w:r w:rsidR="00AB229E" w:rsidRPr="00B611A1">
        <w:rPr>
          <w:rFonts w:asciiTheme="majorBidi" w:hAnsiTheme="majorBidi" w:cstheme="majorBidi"/>
          <w:sz w:val="24"/>
          <w:szCs w:val="24"/>
        </w:rPr>
        <w:t xml:space="preserve"> : </w:t>
      </w:r>
      <w:r w:rsidR="005F71D8" w:rsidRPr="00B611A1">
        <w:rPr>
          <w:rFonts w:asciiTheme="majorBidi" w:hAnsiTheme="majorBidi" w:cstheme="majorBidi"/>
          <w:sz w:val="24"/>
          <w:szCs w:val="24"/>
        </w:rPr>
        <w:t xml:space="preserve">la taxation des livraisons à </w:t>
      </w:r>
      <w:r w:rsidRPr="00B611A1">
        <w:rPr>
          <w:rFonts w:asciiTheme="majorBidi" w:hAnsiTheme="majorBidi" w:cstheme="majorBidi"/>
          <w:sz w:val="24"/>
          <w:szCs w:val="24"/>
        </w:rPr>
        <w:t>soi-même</w:t>
      </w:r>
      <w:r w:rsidR="005F71D8" w:rsidRPr="00B611A1">
        <w:rPr>
          <w:rFonts w:asciiTheme="majorBidi" w:hAnsiTheme="majorBidi" w:cstheme="majorBidi"/>
          <w:sz w:val="24"/>
          <w:szCs w:val="24"/>
        </w:rPr>
        <w:t xml:space="preserve"> vise à traiter de facon égalitaire les assujettis qui s’approvisionnent auprès de leurs fournisseurs et ceux qui se livrent des produits qui ont </w:t>
      </w:r>
      <w:r w:rsidRPr="00B611A1">
        <w:rPr>
          <w:rFonts w:asciiTheme="majorBidi" w:hAnsiTheme="majorBidi" w:cstheme="majorBidi"/>
          <w:sz w:val="24"/>
          <w:szCs w:val="24"/>
        </w:rPr>
        <w:t>eux-même</w:t>
      </w:r>
      <w:r>
        <w:rPr>
          <w:rFonts w:asciiTheme="majorBidi" w:hAnsiTheme="majorBidi" w:cstheme="majorBidi"/>
          <w:sz w:val="24"/>
          <w:szCs w:val="24"/>
        </w:rPr>
        <w:t>s</w:t>
      </w:r>
      <w:r w:rsidR="005F71D8" w:rsidRPr="00B611A1">
        <w:rPr>
          <w:rFonts w:asciiTheme="majorBidi" w:hAnsiTheme="majorBidi" w:cstheme="majorBidi"/>
          <w:sz w:val="24"/>
          <w:szCs w:val="24"/>
        </w:rPr>
        <w:t xml:space="preserve"> fabriqués  </w:t>
      </w:r>
    </w:p>
    <w:p w:rsidR="005F71D8" w:rsidRPr="00B611A1" w:rsidRDefault="00B611A1" w:rsidP="00B611A1">
      <w:pPr>
        <w:pStyle w:val="Paragraphedeliste"/>
        <w:numPr>
          <w:ilvl w:val="0"/>
          <w:numId w:val="11"/>
        </w:numPr>
        <w:ind w:left="426" w:hanging="426"/>
        <w:jc w:val="both"/>
        <w:rPr>
          <w:rFonts w:asciiTheme="majorBidi" w:hAnsiTheme="majorBidi" w:cstheme="majorBidi"/>
          <w:sz w:val="24"/>
          <w:szCs w:val="24"/>
        </w:rPr>
      </w:pPr>
      <w:r w:rsidRPr="00B611A1">
        <w:rPr>
          <w:rFonts w:asciiTheme="majorBidi" w:hAnsiTheme="majorBidi" w:cstheme="majorBidi"/>
          <w:sz w:val="24"/>
          <w:szCs w:val="24"/>
        </w:rPr>
        <w:t>Les</w:t>
      </w:r>
      <w:r w:rsidR="005F71D8" w:rsidRPr="00B611A1">
        <w:rPr>
          <w:rFonts w:asciiTheme="majorBidi" w:hAnsiTheme="majorBidi" w:cstheme="majorBidi"/>
          <w:sz w:val="24"/>
          <w:szCs w:val="24"/>
        </w:rPr>
        <w:t xml:space="preserve"> opérations d’installation</w:t>
      </w:r>
      <w:r w:rsidR="008B7A36" w:rsidRPr="00B611A1">
        <w:rPr>
          <w:rFonts w:asciiTheme="majorBidi" w:hAnsiTheme="majorBidi" w:cstheme="majorBidi"/>
          <w:sz w:val="24"/>
          <w:szCs w:val="24"/>
        </w:rPr>
        <w:t xml:space="preserve">, les opérations de réparation, les opérations d’hébergement </w:t>
      </w:r>
    </w:p>
    <w:p w:rsidR="002C6066" w:rsidRDefault="00B611A1" w:rsidP="00B611A1">
      <w:pPr>
        <w:pStyle w:val="Paragraphedeliste"/>
        <w:numPr>
          <w:ilvl w:val="0"/>
          <w:numId w:val="11"/>
        </w:numPr>
        <w:ind w:left="426" w:hanging="426"/>
        <w:jc w:val="both"/>
        <w:rPr>
          <w:rFonts w:asciiTheme="majorBidi" w:hAnsiTheme="majorBidi" w:cstheme="majorBidi"/>
          <w:sz w:val="24"/>
          <w:szCs w:val="24"/>
        </w:rPr>
      </w:pPr>
      <w:r w:rsidRPr="00B611A1">
        <w:rPr>
          <w:rFonts w:asciiTheme="majorBidi" w:hAnsiTheme="majorBidi" w:cstheme="majorBidi"/>
          <w:sz w:val="24"/>
          <w:szCs w:val="24"/>
        </w:rPr>
        <w:t>Le</w:t>
      </w:r>
      <w:r w:rsidR="008B7A36" w:rsidRPr="00B611A1">
        <w:rPr>
          <w:rFonts w:asciiTheme="majorBidi" w:hAnsiTheme="majorBidi" w:cstheme="majorBidi"/>
          <w:sz w:val="24"/>
          <w:szCs w:val="24"/>
        </w:rPr>
        <w:t xml:space="preserve"> transport de marchandises </w:t>
      </w:r>
    </w:p>
    <w:p w:rsidR="008B7A36" w:rsidRPr="00B611A1" w:rsidRDefault="008B7A36" w:rsidP="00B611A1">
      <w:pPr>
        <w:pStyle w:val="Paragraphedeliste"/>
        <w:numPr>
          <w:ilvl w:val="0"/>
          <w:numId w:val="11"/>
        </w:numPr>
        <w:ind w:left="426" w:hanging="426"/>
        <w:jc w:val="both"/>
        <w:rPr>
          <w:rFonts w:asciiTheme="majorBidi" w:hAnsiTheme="majorBidi" w:cstheme="majorBidi"/>
          <w:sz w:val="24"/>
          <w:szCs w:val="24"/>
        </w:rPr>
      </w:pPr>
      <w:proofErr w:type="gramStart"/>
      <w:r w:rsidRPr="00B611A1">
        <w:rPr>
          <w:rFonts w:asciiTheme="majorBidi" w:hAnsiTheme="majorBidi" w:cstheme="majorBidi"/>
          <w:sz w:val="24"/>
          <w:szCs w:val="24"/>
        </w:rPr>
        <w:t>et</w:t>
      </w:r>
      <w:proofErr w:type="gramEnd"/>
      <w:r w:rsidRPr="00B611A1">
        <w:rPr>
          <w:rFonts w:asciiTheme="majorBidi" w:hAnsiTheme="majorBidi" w:cstheme="majorBidi"/>
          <w:sz w:val="24"/>
          <w:szCs w:val="24"/>
        </w:rPr>
        <w:t xml:space="preserve"> de voyageurs </w:t>
      </w:r>
    </w:p>
    <w:p w:rsidR="008B7A36" w:rsidRPr="00B611A1" w:rsidRDefault="00B611A1" w:rsidP="00B611A1">
      <w:pPr>
        <w:pStyle w:val="Paragraphedeliste"/>
        <w:numPr>
          <w:ilvl w:val="0"/>
          <w:numId w:val="11"/>
        </w:numPr>
        <w:ind w:left="426" w:hanging="426"/>
        <w:jc w:val="both"/>
        <w:rPr>
          <w:rFonts w:asciiTheme="majorBidi" w:hAnsiTheme="majorBidi" w:cstheme="majorBidi"/>
          <w:sz w:val="24"/>
          <w:szCs w:val="24"/>
        </w:rPr>
      </w:pPr>
      <w:r w:rsidRPr="00B611A1">
        <w:rPr>
          <w:rFonts w:asciiTheme="majorBidi" w:hAnsiTheme="majorBidi" w:cstheme="majorBidi"/>
          <w:sz w:val="24"/>
          <w:szCs w:val="24"/>
        </w:rPr>
        <w:t>Les</w:t>
      </w:r>
      <w:r w:rsidR="008B7A36" w:rsidRPr="00B611A1">
        <w:rPr>
          <w:rFonts w:asciiTheme="majorBidi" w:hAnsiTheme="majorBidi" w:cstheme="majorBidi"/>
          <w:sz w:val="24"/>
          <w:szCs w:val="24"/>
        </w:rPr>
        <w:t xml:space="preserve"> locations portant sur des locaux meublés ou garnis </w:t>
      </w:r>
    </w:p>
    <w:p w:rsidR="008B7A36" w:rsidRPr="00B611A1" w:rsidRDefault="00B611A1" w:rsidP="00B611A1">
      <w:pPr>
        <w:pStyle w:val="Paragraphedeliste"/>
        <w:numPr>
          <w:ilvl w:val="0"/>
          <w:numId w:val="11"/>
        </w:numPr>
        <w:ind w:left="426" w:hanging="426"/>
        <w:jc w:val="both"/>
        <w:rPr>
          <w:rFonts w:asciiTheme="majorBidi" w:hAnsiTheme="majorBidi" w:cstheme="majorBidi"/>
          <w:sz w:val="24"/>
          <w:szCs w:val="24"/>
        </w:rPr>
      </w:pPr>
      <w:r w:rsidRPr="00B611A1">
        <w:rPr>
          <w:rFonts w:asciiTheme="majorBidi" w:hAnsiTheme="majorBidi" w:cstheme="majorBidi"/>
          <w:sz w:val="24"/>
          <w:szCs w:val="24"/>
        </w:rPr>
        <w:lastRenderedPageBreak/>
        <w:t>Les</w:t>
      </w:r>
      <w:r w:rsidR="008B7A36" w:rsidRPr="00B611A1">
        <w:rPr>
          <w:rFonts w:asciiTheme="majorBidi" w:hAnsiTheme="majorBidi" w:cstheme="majorBidi"/>
          <w:sz w:val="24"/>
          <w:szCs w:val="24"/>
        </w:rPr>
        <w:t xml:space="preserve"> locations de fonds de commerce </w:t>
      </w:r>
    </w:p>
    <w:p w:rsidR="008B7A36" w:rsidRPr="00B611A1" w:rsidRDefault="00B611A1" w:rsidP="00B611A1">
      <w:pPr>
        <w:pStyle w:val="Paragraphedeliste"/>
        <w:numPr>
          <w:ilvl w:val="0"/>
          <w:numId w:val="11"/>
        </w:numPr>
        <w:ind w:left="426" w:hanging="426"/>
        <w:jc w:val="both"/>
        <w:rPr>
          <w:rFonts w:asciiTheme="majorBidi" w:hAnsiTheme="majorBidi" w:cstheme="majorBidi"/>
          <w:sz w:val="24"/>
          <w:szCs w:val="24"/>
        </w:rPr>
      </w:pPr>
      <w:r w:rsidRPr="00B611A1">
        <w:rPr>
          <w:rFonts w:asciiTheme="majorBidi" w:hAnsiTheme="majorBidi" w:cstheme="majorBidi"/>
          <w:sz w:val="24"/>
          <w:szCs w:val="24"/>
        </w:rPr>
        <w:t>Les</w:t>
      </w:r>
      <w:r w:rsidR="008B7A36" w:rsidRPr="00B611A1">
        <w:rPr>
          <w:rFonts w:asciiTheme="majorBidi" w:hAnsiTheme="majorBidi" w:cstheme="majorBidi"/>
          <w:sz w:val="24"/>
          <w:szCs w:val="24"/>
        </w:rPr>
        <w:t xml:space="preserve"> opérations de louage de choses ou de services, telles que les locations de véhicules, de matériel…</w:t>
      </w:r>
    </w:p>
    <w:p w:rsidR="008B7A36" w:rsidRPr="00B611A1" w:rsidRDefault="00B611A1" w:rsidP="00B611A1">
      <w:pPr>
        <w:pStyle w:val="Paragraphedeliste"/>
        <w:numPr>
          <w:ilvl w:val="0"/>
          <w:numId w:val="11"/>
        </w:numPr>
        <w:ind w:left="426" w:hanging="426"/>
        <w:jc w:val="both"/>
        <w:rPr>
          <w:rFonts w:asciiTheme="majorBidi" w:hAnsiTheme="majorBidi" w:cstheme="majorBidi"/>
          <w:sz w:val="24"/>
          <w:szCs w:val="24"/>
        </w:rPr>
      </w:pPr>
      <w:r w:rsidRPr="00B611A1">
        <w:rPr>
          <w:rFonts w:asciiTheme="majorBidi" w:hAnsiTheme="majorBidi" w:cstheme="majorBidi"/>
          <w:sz w:val="24"/>
          <w:szCs w:val="24"/>
        </w:rPr>
        <w:t>Les</w:t>
      </w:r>
      <w:r w:rsidR="008B7A36" w:rsidRPr="00B611A1">
        <w:rPr>
          <w:rFonts w:asciiTheme="majorBidi" w:hAnsiTheme="majorBidi" w:cstheme="majorBidi"/>
          <w:sz w:val="24"/>
          <w:szCs w:val="24"/>
        </w:rPr>
        <w:t xml:space="preserve"> cessions et concessions d’exploitation de brevets ou de marques </w:t>
      </w:r>
    </w:p>
    <w:p w:rsidR="008B7A36" w:rsidRPr="00B611A1" w:rsidRDefault="00B611A1" w:rsidP="00B611A1">
      <w:pPr>
        <w:pStyle w:val="Paragraphedeliste"/>
        <w:numPr>
          <w:ilvl w:val="0"/>
          <w:numId w:val="11"/>
        </w:numPr>
        <w:ind w:left="426" w:hanging="426"/>
        <w:jc w:val="both"/>
        <w:rPr>
          <w:rFonts w:asciiTheme="majorBidi" w:hAnsiTheme="majorBidi" w:cstheme="majorBidi"/>
          <w:sz w:val="24"/>
          <w:szCs w:val="24"/>
        </w:rPr>
      </w:pPr>
      <w:r w:rsidRPr="00B611A1">
        <w:rPr>
          <w:rFonts w:asciiTheme="majorBidi" w:hAnsiTheme="majorBidi" w:cstheme="majorBidi"/>
          <w:sz w:val="24"/>
          <w:szCs w:val="24"/>
        </w:rPr>
        <w:t>Les</w:t>
      </w:r>
      <w:r w:rsidR="008B7A36" w:rsidRPr="00B611A1">
        <w:rPr>
          <w:rFonts w:asciiTheme="majorBidi" w:hAnsiTheme="majorBidi" w:cstheme="majorBidi"/>
          <w:sz w:val="24"/>
          <w:szCs w:val="24"/>
        </w:rPr>
        <w:t xml:space="preserve"> opérations de banque, de crédit, de </w:t>
      </w:r>
      <w:r w:rsidRPr="00B611A1">
        <w:rPr>
          <w:rFonts w:asciiTheme="majorBidi" w:hAnsiTheme="majorBidi" w:cstheme="majorBidi"/>
          <w:sz w:val="24"/>
          <w:szCs w:val="24"/>
        </w:rPr>
        <w:t>change, et</w:t>
      </w:r>
      <w:r w:rsidR="008B7A36" w:rsidRPr="00B611A1">
        <w:rPr>
          <w:rFonts w:asciiTheme="majorBidi" w:hAnsiTheme="majorBidi" w:cstheme="majorBidi"/>
          <w:sz w:val="24"/>
          <w:szCs w:val="24"/>
        </w:rPr>
        <w:t xml:space="preserve"> de bourse </w:t>
      </w:r>
    </w:p>
    <w:p w:rsidR="008B7A36" w:rsidRPr="00B611A1" w:rsidRDefault="00B611A1" w:rsidP="00B611A1">
      <w:pPr>
        <w:pStyle w:val="Paragraphedeliste"/>
        <w:numPr>
          <w:ilvl w:val="0"/>
          <w:numId w:val="11"/>
        </w:numPr>
        <w:ind w:left="426" w:hanging="426"/>
        <w:jc w:val="both"/>
        <w:rPr>
          <w:rFonts w:asciiTheme="majorBidi" w:hAnsiTheme="majorBidi" w:cstheme="majorBidi"/>
          <w:sz w:val="24"/>
          <w:szCs w:val="24"/>
        </w:rPr>
      </w:pPr>
      <w:r w:rsidRPr="00B611A1">
        <w:rPr>
          <w:rFonts w:asciiTheme="majorBidi" w:hAnsiTheme="majorBidi" w:cstheme="majorBidi"/>
          <w:sz w:val="24"/>
          <w:szCs w:val="24"/>
        </w:rPr>
        <w:t>Les</w:t>
      </w:r>
      <w:r w:rsidR="008B7A36" w:rsidRPr="00B611A1">
        <w:rPr>
          <w:rFonts w:asciiTheme="majorBidi" w:hAnsiTheme="majorBidi" w:cstheme="majorBidi"/>
          <w:sz w:val="24"/>
          <w:szCs w:val="24"/>
        </w:rPr>
        <w:t xml:space="preserve"> professions libérales : avocats, notaire, </w:t>
      </w:r>
      <w:r w:rsidRPr="00B611A1">
        <w:rPr>
          <w:rFonts w:asciiTheme="majorBidi" w:hAnsiTheme="majorBidi" w:cstheme="majorBidi"/>
          <w:sz w:val="24"/>
          <w:szCs w:val="24"/>
        </w:rPr>
        <w:t>architecte.</w:t>
      </w:r>
      <w:r w:rsidR="008B7A36" w:rsidRPr="00B611A1">
        <w:rPr>
          <w:rFonts w:asciiTheme="majorBidi" w:hAnsiTheme="majorBidi" w:cstheme="majorBidi"/>
          <w:sz w:val="24"/>
          <w:szCs w:val="24"/>
        </w:rPr>
        <w:t xml:space="preserve"> </w:t>
      </w:r>
    </w:p>
    <w:p w:rsidR="008B7A36" w:rsidRPr="00B611A1" w:rsidRDefault="00B611A1" w:rsidP="00B611A1">
      <w:pPr>
        <w:pStyle w:val="Paragraphedeliste"/>
        <w:numPr>
          <w:ilvl w:val="0"/>
          <w:numId w:val="11"/>
        </w:numPr>
        <w:ind w:left="426" w:hanging="426"/>
        <w:jc w:val="both"/>
        <w:rPr>
          <w:rFonts w:asciiTheme="majorBidi" w:hAnsiTheme="majorBidi" w:cstheme="majorBidi"/>
          <w:sz w:val="24"/>
          <w:szCs w:val="24"/>
        </w:rPr>
      </w:pPr>
      <w:r w:rsidRPr="00B611A1">
        <w:rPr>
          <w:rFonts w:asciiTheme="majorBidi" w:hAnsiTheme="majorBidi" w:cstheme="majorBidi"/>
          <w:sz w:val="24"/>
          <w:szCs w:val="24"/>
        </w:rPr>
        <w:t>L’organisation</w:t>
      </w:r>
      <w:r w:rsidR="008B7A36" w:rsidRPr="00B611A1">
        <w:rPr>
          <w:rFonts w:asciiTheme="majorBidi" w:hAnsiTheme="majorBidi" w:cstheme="majorBidi"/>
          <w:sz w:val="24"/>
          <w:szCs w:val="24"/>
        </w:rPr>
        <w:t xml:space="preserve"> des jeux de hasard </w:t>
      </w:r>
    </w:p>
    <w:p w:rsidR="008B7A36" w:rsidRPr="00B611A1" w:rsidRDefault="00B611A1" w:rsidP="00B611A1">
      <w:pPr>
        <w:pStyle w:val="Paragraphedeliste"/>
        <w:numPr>
          <w:ilvl w:val="1"/>
          <w:numId w:val="14"/>
        </w:numPr>
        <w:ind w:left="284" w:firstLine="850"/>
        <w:jc w:val="both"/>
        <w:rPr>
          <w:rFonts w:asciiTheme="majorBidi" w:hAnsiTheme="majorBidi" w:cstheme="majorBidi"/>
          <w:b/>
          <w:bCs/>
          <w:sz w:val="24"/>
          <w:szCs w:val="24"/>
          <w:u w:val="single"/>
        </w:rPr>
      </w:pPr>
      <w:r w:rsidRPr="00B611A1">
        <w:rPr>
          <w:rFonts w:asciiTheme="majorBidi" w:hAnsiTheme="majorBidi" w:cstheme="majorBidi"/>
          <w:b/>
          <w:bCs/>
          <w:sz w:val="24"/>
          <w:szCs w:val="24"/>
          <w:u w:val="single"/>
        </w:rPr>
        <w:t>Les</w:t>
      </w:r>
      <w:r w:rsidR="008B7A36" w:rsidRPr="00B611A1">
        <w:rPr>
          <w:rFonts w:asciiTheme="majorBidi" w:hAnsiTheme="majorBidi" w:cstheme="majorBidi"/>
          <w:b/>
          <w:bCs/>
          <w:sz w:val="24"/>
          <w:szCs w:val="24"/>
          <w:u w:val="single"/>
        </w:rPr>
        <w:t xml:space="preserve"> exonérations </w:t>
      </w:r>
    </w:p>
    <w:p w:rsidR="008B7A36" w:rsidRPr="00B611A1" w:rsidRDefault="00B611A1" w:rsidP="00B611A1">
      <w:pPr>
        <w:ind w:hanging="142"/>
        <w:jc w:val="both"/>
        <w:rPr>
          <w:rFonts w:asciiTheme="majorBidi" w:hAnsiTheme="majorBidi" w:cstheme="majorBidi"/>
          <w:sz w:val="24"/>
          <w:szCs w:val="24"/>
        </w:rPr>
      </w:pPr>
      <w:r>
        <w:rPr>
          <w:rFonts w:asciiTheme="majorBidi" w:hAnsiTheme="majorBidi" w:cstheme="majorBidi"/>
          <w:sz w:val="24"/>
          <w:szCs w:val="24"/>
        </w:rPr>
        <w:t xml:space="preserve">       </w:t>
      </w:r>
      <w:r w:rsidRPr="00B611A1">
        <w:rPr>
          <w:rFonts w:asciiTheme="majorBidi" w:hAnsiTheme="majorBidi" w:cstheme="majorBidi"/>
          <w:sz w:val="24"/>
          <w:szCs w:val="24"/>
        </w:rPr>
        <w:t>Ce</w:t>
      </w:r>
      <w:r w:rsidR="008B7A36" w:rsidRPr="00B611A1">
        <w:rPr>
          <w:rFonts w:asciiTheme="majorBidi" w:hAnsiTheme="majorBidi" w:cstheme="majorBidi"/>
          <w:sz w:val="24"/>
          <w:szCs w:val="24"/>
        </w:rPr>
        <w:t xml:space="preserve"> sont des opérations qui entrent dans le champ d’application de la ta</w:t>
      </w:r>
      <w:r>
        <w:rPr>
          <w:rFonts w:asciiTheme="majorBidi" w:hAnsiTheme="majorBidi" w:cstheme="majorBidi"/>
          <w:sz w:val="24"/>
          <w:szCs w:val="24"/>
        </w:rPr>
        <w:t xml:space="preserve">xe mais elles en sont exonérées </w:t>
      </w:r>
      <w:r w:rsidR="008B7A36" w:rsidRPr="00B611A1">
        <w:rPr>
          <w:rFonts w:asciiTheme="majorBidi" w:hAnsiTheme="majorBidi" w:cstheme="majorBidi"/>
          <w:sz w:val="24"/>
          <w:szCs w:val="24"/>
        </w:rPr>
        <w:t xml:space="preserve">pour des considérations d’ordre social, économique ou culturel. </w:t>
      </w:r>
      <w:r w:rsidRPr="00B611A1">
        <w:rPr>
          <w:rFonts w:asciiTheme="majorBidi" w:hAnsiTheme="majorBidi" w:cstheme="majorBidi"/>
          <w:sz w:val="24"/>
          <w:szCs w:val="24"/>
        </w:rPr>
        <w:t>On</w:t>
      </w:r>
      <w:r w:rsidR="008B7A36" w:rsidRPr="00B611A1">
        <w:rPr>
          <w:rFonts w:asciiTheme="majorBidi" w:hAnsiTheme="majorBidi" w:cstheme="majorBidi"/>
          <w:sz w:val="24"/>
          <w:szCs w:val="24"/>
        </w:rPr>
        <w:t xml:space="preserve"> distingue : </w:t>
      </w:r>
    </w:p>
    <w:p w:rsidR="008B7A36" w:rsidRPr="00B611A1" w:rsidRDefault="00B611A1" w:rsidP="00B611A1">
      <w:pPr>
        <w:pStyle w:val="Paragraphedeliste"/>
        <w:numPr>
          <w:ilvl w:val="0"/>
          <w:numId w:val="12"/>
        </w:numPr>
        <w:ind w:left="426" w:hanging="426"/>
        <w:jc w:val="both"/>
        <w:rPr>
          <w:rFonts w:asciiTheme="majorBidi" w:hAnsiTheme="majorBidi" w:cstheme="majorBidi"/>
          <w:b/>
          <w:bCs/>
          <w:sz w:val="24"/>
          <w:szCs w:val="24"/>
        </w:rPr>
      </w:pPr>
      <w:r w:rsidRPr="00B611A1">
        <w:rPr>
          <w:rFonts w:asciiTheme="majorBidi" w:hAnsiTheme="majorBidi" w:cstheme="majorBidi"/>
          <w:b/>
          <w:bCs/>
          <w:sz w:val="24"/>
          <w:szCs w:val="24"/>
        </w:rPr>
        <w:t>Les</w:t>
      </w:r>
      <w:r w:rsidR="008B7A36" w:rsidRPr="00B611A1">
        <w:rPr>
          <w:rFonts w:asciiTheme="majorBidi" w:hAnsiTheme="majorBidi" w:cstheme="majorBidi"/>
          <w:b/>
          <w:bCs/>
          <w:sz w:val="24"/>
          <w:szCs w:val="24"/>
        </w:rPr>
        <w:t xml:space="preserve"> opérations exonérées sans droit à déduction </w:t>
      </w:r>
    </w:p>
    <w:p w:rsidR="008B7A36" w:rsidRDefault="00B611A1" w:rsidP="00B611A1">
      <w:pPr>
        <w:pStyle w:val="Paragraphedeliste"/>
        <w:numPr>
          <w:ilvl w:val="0"/>
          <w:numId w:val="12"/>
        </w:numPr>
        <w:ind w:left="426" w:hanging="426"/>
        <w:jc w:val="both"/>
        <w:rPr>
          <w:rFonts w:asciiTheme="majorBidi" w:hAnsiTheme="majorBidi" w:cstheme="majorBidi"/>
          <w:sz w:val="24"/>
          <w:szCs w:val="24"/>
        </w:rPr>
      </w:pPr>
      <w:r w:rsidRPr="00B611A1">
        <w:rPr>
          <w:rFonts w:asciiTheme="majorBidi" w:hAnsiTheme="majorBidi" w:cstheme="majorBidi"/>
          <w:b/>
          <w:bCs/>
          <w:sz w:val="24"/>
          <w:szCs w:val="24"/>
        </w:rPr>
        <w:t>Les opérations exonérées</w:t>
      </w:r>
      <w:r w:rsidR="008B7A36" w:rsidRPr="00B611A1">
        <w:rPr>
          <w:rFonts w:asciiTheme="majorBidi" w:hAnsiTheme="majorBidi" w:cstheme="majorBidi"/>
          <w:b/>
          <w:bCs/>
          <w:sz w:val="24"/>
          <w:szCs w:val="24"/>
        </w:rPr>
        <w:t xml:space="preserve"> avec droit à déduction</w:t>
      </w:r>
      <w:r w:rsidR="008B7A36" w:rsidRPr="00B611A1">
        <w:rPr>
          <w:rFonts w:asciiTheme="majorBidi" w:hAnsiTheme="majorBidi" w:cstheme="majorBidi"/>
          <w:sz w:val="24"/>
          <w:szCs w:val="24"/>
        </w:rPr>
        <w:t xml:space="preserve"> </w:t>
      </w:r>
    </w:p>
    <w:p w:rsidR="00B611A1" w:rsidRPr="00B611A1" w:rsidRDefault="00B611A1" w:rsidP="00B611A1">
      <w:pPr>
        <w:pStyle w:val="Paragraphedeliste"/>
        <w:ind w:left="426"/>
        <w:jc w:val="both"/>
        <w:rPr>
          <w:rFonts w:asciiTheme="majorBidi" w:hAnsiTheme="majorBidi" w:cstheme="majorBidi"/>
          <w:sz w:val="24"/>
          <w:szCs w:val="24"/>
        </w:rPr>
      </w:pPr>
    </w:p>
    <w:p w:rsidR="00FF5290" w:rsidRPr="00B611A1" w:rsidRDefault="00B611A1" w:rsidP="00B611A1">
      <w:pPr>
        <w:pStyle w:val="Paragraphedeliste"/>
        <w:numPr>
          <w:ilvl w:val="0"/>
          <w:numId w:val="13"/>
        </w:numPr>
        <w:ind w:left="426" w:hanging="426"/>
        <w:jc w:val="both"/>
        <w:rPr>
          <w:rFonts w:asciiTheme="majorBidi" w:hAnsiTheme="majorBidi" w:cstheme="majorBidi"/>
          <w:b/>
          <w:bCs/>
          <w:i/>
          <w:iCs/>
          <w:sz w:val="24"/>
          <w:szCs w:val="24"/>
        </w:rPr>
      </w:pPr>
      <w:r w:rsidRPr="00B611A1">
        <w:rPr>
          <w:rFonts w:asciiTheme="majorBidi" w:hAnsiTheme="majorBidi" w:cstheme="majorBidi"/>
          <w:b/>
          <w:bCs/>
          <w:i/>
          <w:iCs/>
          <w:sz w:val="24"/>
          <w:szCs w:val="24"/>
        </w:rPr>
        <w:t>Exonérations</w:t>
      </w:r>
      <w:r w:rsidR="008B7A36" w:rsidRPr="00B611A1">
        <w:rPr>
          <w:rFonts w:asciiTheme="majorBidi" w:hAnsiTheme="majorBidi" w:cstheme="majorBidi"/>
          <w:b/>
          <w:bCs/>
          <w:i/>
          <w:iCs/>
          <w:sz w:val="24"/>
          <w:szCs w:val="24"/>
        </w:rPr>
        <w:t xml:space="preserve"> sans droit à déduction </w:t>
      </w:r>
    </w:p>
    <w:p w:rsidR="00FF5290" w:rsidRPr="00B611A1" w:rsidRDefault="00B611A1" w:rsidP="00B611A1">
      <w:pPr>
        <w:pStyle w:val="Paragraphedeliste"/>
        <w:ind w:left="426" w:hanging="426"/>
        <w:jc w:val="both"/>
        <w:rPr>
          <w:rFonts w:asciiTheme="majorBidi" w:hAnsiTheme="majorBidi" w:cstheme="majorBidi"/>
          <w:sz w:val="24"/>
          <w:szCs w:val="24"/>
        </w:rPr>
      </w:pPr>
      <w:r>
        <w:rPr>
          <w:rFonts w:asciiTheme="majorBidi" w:hAnsiTheme="majorBidi" w:cstheme="majorBidi"/>
          <w:sz w:val="24"/>
          <w:szCs w:val="24"/>
        </w:rPr>
        <w:t xml:space="preserve">           </w:t>
      </w:r>
      <w:r w:rsidR="00FF5290" w:rsidRPr="00B611A1">
        <w:rPr>
          <w:rFonts w:asciiTheme="majorBidi" w:hAnsiTheme="majorBidi" w:cstheme="majorBidi"/>
          <w:sz w:val="24"/>
          <w:szCs w:val="24"/>
        </w:rPr>
        <w:t xml:space="preserve">Elles obligent l’assujetti à vendre en hors taxe et à acheter avec TVA sans pouvoir pour autant la récupérer. </w:t>
      </w:r>
    </w:p>
    <w:p w:rsidR="00FF5290" w:rsidRPr="00B611A1" w:rsidRDefault="00FF5290" w:rsidP="00B611A1">
      <w:pPr>
        <w:spacing w:before="120" w:after="120"/>
        <w:ind w:left="426" w:hanging="426"/>
        <w:jc w:val="both"/>
        <w:rPr>
          <w:rFonts w:asciiTheme="majorBidi" w:hAnsiTheme="majorBidi" w:cstheme="majorBidi"/>
          <w:sz w:val="24"/>
          <w:szCs w:val="24"/>
        </w:rPr>
      </w:pPr>
      <w:r w:rsidRPr="00B611A1">
        <w:rPr>
          <w:rFonts w:asciiTheme="majorBidi" w:hAnsiTheme="majorBidi" w:cstheme="majorBidi"/>
          <w:sz w:val="24"/>
          <w:szCs w:val="24"/>
        </w:rPr>
        <w:t>Sont exonérées de la TVA sans droit à déduction :</w:t>
      </w:r>
    </w:p>
    <w:p w:rsidR="00FF5290" w:rsidRPr="00B611A1" w:rsidRDefault="00FF5290" w:rsidP="00B611A1">
      <w:pPr>
        <w:numPr>
          <w:ilvl w:val="0"/>
          <w:numId w:val="15"/>
        </w:numPr>
        <w:tabs>
          <w:tab w:val="clear" w:pos="720"/>
          <w:tab w:val="num" w:pos="426"/>
        </w:tabs>
        <w:spacing w:after="0" w:line="240" w:lineRule="auto"/>
        <w:ind w:left="426" w:hanging="426"/>
        <w:jc w:val="both"/>
        <w:rPr>
          <w:rFonts w:asciiTheme="majorBidi" w:hAnsiTheme="majorBidi" w:cstheme="majorBidi"/>
          <w:sz w:val="24"/>
          <w:szCs w:val="24"/>
        </w:rPr>
      </w:pPr>
      <w:r w:rsidRPr="00B611A1">
        <w:rPr>
          <w:rFonts w:asciiTheme="majorBidi" w:hAnsiTheme="majorBidi" w:cstheme="majorBidi"/>
          <w:sz w:val="24"/>
          <w:szCs w:val="24"/>
        </w:rPr>
        <w:t>Les ventes portant sur : Le pain, le couscous, les semoules, les farines, le lait, le sel de cuisine et les dattes conditionnées produites au Maroc, ainsi que les raisins secs et les figues sèches, le beurre de fabrication artisanale non conditionné.</w:t>
      </w:r>
    </w:p>
    <w:p w:rsidR="00FF5290" w:rsidRPr="00B611A1" w:rsidRDefault="00FF5290" w:rsidP="00B611A1">
      <w:pPr>
        <w:numPr>
          <w:ilvl w:val="0"/>
          <w:numId w:val="15"/>
        </w:numPr>
        <w:tabs>
          <w:tab w:val="clear" w:pos="720"/>
          <w:tab w:val="num" w:pos="426"/>
        </w:tabs>
        <w:spacing w:after="0" w:line="240" w:lineRule="auto"/>
        <w:ind w:left="426" w:hanging="426"/>
        <w:jc w:val="both"/>
        <w:rPr>
          <w:rFonts w:asciiTheme="majorBidi" w:hAnsiTheme="majorBidi" w:cstheme="majorBidi"/>
          <w:sz w:val="24"/>
          <w:szCs w:val="24"/>
        </w:rPr>
      </w:pPr>
      <w:r w:rsidRPr="00B611A1">
        <w:rPr>
          <w:rFonts w:asciiTheme="majorBidi" w:hAnsiTheme="majorBidi" w:cstheme="majorBidi"/>
          <w:sz w:val="24"/>
          <w:szCs w:val="24"/>
        </w:rPr>
        <w:t>Les ventes portant sur : les bougies, les journaux, les publications, les livres, les timbres fiscaux, papiers et impressions timbrés émis par l'Etat.</w:t>
      </w:r>
    </w:p>
    <w:p w:rsidR="00B611A1" w:rsidRDefault="00FF5290" w:rsidP="00B611A1">
      <w:pPr>
        <w:numPr>
          <w:ilvl w:val="0"/>
          <w:numId w:val="15"/>
        </w:numPr>
        <w:tabs>
          <w:tab w:val="clear" w:pos="720"/>
          <w:tab w:val="num" w:pos="426"/>
        </w:tabs>
        <w:spacing w:after="0" w:line="240" w:lineRule="auto"/>
        <w:ind w:left="426" w:hanging="426"/>
        <w:jc w:val="both"/>
        <w:rPr>
          <w:rFonts w:asciiTheme="majorBidi" w:hAnsiTheme="majorBidi" w:cstheme="majorBidi"/>
          <w:sz w:val="24"/>
          <w:szCs w:val="24"/>
        </w:rPr>
      </w:pPr>
      <w:r w:rsidRPr="00B611A1">
        <w:rPr>
          <w:rFonts w:asciiTheme="majorBidi" w:hAnsiTheme="majorBidi" w:cstheme="majorBidi"/>
          <w:sz w:val="24"/>
          <w:szCs w:val="24"/>
        </w:rPr>
        <w:t>Les produits de la pêche, la viande fraîche ou congelée, les bois, l'huile d'olive et les sous-produits de la trituration des olives fabriqués par les unités artisanales.</w:t>
      </w:r>
    </w:p>
    <w:p w:rsidR="00F96520" w:rsidRDefault="00EE1D2B" w:rsidP="00B611A1">
      <w:pPr>
        <w:numPr>
          <w:ilvl w:val="0"/>
          <w:numId w:val="15"/>
        </w:numPr>
        <w:tabs>
          <w:tab w:val="clear" w:pos="720"/>
          <w:tab w:val="num" w:pos="426"/>
        </w:tabs>
        <w:spacing w:after="0" w:line="240" w:lineRule="auto"/>
        <w:ind w:left="426" w:hanging="426"/>
        <w:jc w:val="both"/>
        <w:rPr>
          <w:rFonts w:asciiTheme="majorBidi" w:hAnsiTheme="majorBidi" w:cstheme="majorBidi"/>
          <w:sz w:val="24"/>
          <w:szCs w:val="24"/>
        </w:rPr>
      </w:pPr>
      <w:r w:rsidRPr="00B611A1">
        <w:rPr>
          <w:rFonts w:asciiTheme="majorBidi" w:hAnsiTheme="majorBidi" w:cstheme="majorBidi"/>
          <w:sz w:val="24"/>
          <w:szCs w:val="24"/>
        </w:rPr>
        <w:t xml:space="preserve">Les ventes et prestations de services, effectuées par les fabricants et les prestataires, personnes physiques, dont le chiffre d’affaires annuel est inférieur ou égal à cinq cent mille (500.000) dirhams, à l’exception des personnes exerçant des professions </w:t>
      </w:r>
      <w:r w:rsidR="00B611A1" w:rsidRPr="00B611A1">
        <w:rPr>
          <w:rFonts w:asciiTheme="majorBidi" w:hAnsiTheme="majorBidi" w:cstheme="majorBidi"/>
          <w:sz w:val="24"/>
          <w:szCs w:val="24"/>
        </w:rPr>
        <w:t xml:space="preserve">libérales. </w:t>
      </w:r>
    </w:p>
    <w:p w:rsidR="00FF5290" w:rsidRPr="00B611A1" w:rsidRDefault="00B611A1" w:rsidP="00B611A1">
      <w:pPr>
        <w:numPr>
          <w:ilvl w:val="0"/>
          <w:numId w:val="15"/>
        </w:numPr>
        <w:tabs>
          <w:tab w:val="clear" w:pos="720"/>
          <w:tab w:val="num" w:pos="426"/>
        </w:tabs>
        <w:spacing w:after="0" w:line="240" w:lineRule="auto"/>
        <w:ind w:left="426" w:hanging="426"/>
        <w:jc w:val="both"/>
        <w:rPr>
          <w:rFonts w:asciiTheme="majorBidi" w:hAnsiTheme="majorBidi" w:cstheme="majorBidi"/>
          <w:sz w:val="24"/>
          <w:szCs w:val="24"/>
        </w:rPr>
      </w:pPr>
      <w:r w:rsidRPr="00B611A1">
        <w:rPr>
          <w:rFonts w:asciiTheme="majorBidi" w:hAnsiTheme="majorBidi" w:cstheme="majorBidi"/>
          <w:sz w:val="24"/>
          <w:szCs w:val="24"/>
        </w:rPr>
        <w:t>Les</w:t>
      </w:r>
      <w:r w:rsidR="00FF5290" w:rsidRPr="00B611A1">
        <w:rPr>
          <w:rFonts w:asciiTheme="majorBidi" w:hAnsiTheme="majorBidi" w:cstheme="majorBidi"/>
          <w:sz w:val="24"/>
          <w:szCs w:val="24"/>
        </w:rPr>
        <w:t xml:space="preserve"> actes médicaux effectués par les médecins, médecins dentistes, masseurs kinésithérapeutes et sages-femmes </w:t>
      </w:r>
    </w:p>
    <w:p w:rsidR="00FF5290" w:rsidRDefault="00FF5290" w:rsidP="00B611A1">
      <w:pPr>
        <w:numPr>
          <w:ilvl w:val="0"/>
          <w:numId w:val="15"/>
        </w:numPr>
        <w:spacing w:after="0" w:line="240" w:lineRule="auto"/>
        <w:ind w:left="426" w:hanging="426"/>
        <w:jc w:val="both"/>
        <w:rPr>
          <w:rFonts w:asciiTheme="majorBidi" w:hAnsiTheme="majorBidi" w:cstheme="majorBidi"/>
          <w:sz w:val="24"/>
          <w:szCs w:val="24"/>
        </w:rPr>
      </w:pPr>
      <w:r w:rsidRPr="00B611A1">
        <w:rPr>
          <w:rFonts w:asciiTheme="majorBidi" w:hAnsiTheme="majorBidi" w:cstheme="majorBidi"/>
          <w:sz w:val="24"/>
          <w:szCs w:val="24"/>
        </w:rPr>
        <w:t xml:space="preserve">Les exploitants de cliniques, maisons de santé ou de traitement et exploitants de laboratoires d’analyses médicales. </w:t>
      </w:r>
    </w:p>
    <w:p w:rsidR="00F96520" w:rsidRPr="00B611A1" w:rsidRDefault="00F96520" w:rsidP="00F96520">
      <w:pPr>
        <w:numPr>
          <w:ilvl w:val="0"/>
          <w:numId w:val="15"/>
        </w:numPr>
        <w:spacing w:after="0" w:line="240" w:lineRule="auto"/>
        <w:ind w:left="426" w:hanging="426"/>
        <w:jc w:val="both"/>
        <w:rPr>
          <w:rFonts w:asciiTheme="majorBidi" w:hAnsiTheme="majorBidi" w:cstheme="majorBidi"/>
          <w:sz w:val="24"/>
          <w:szCs w:val="24"/>
        </w:rPr>
      </w:pPr>
      <w:r>
        <w:t xml:space="preserve">Les opérations de crédit effectuées par les associations de microcrédit </w:t>
      </w:r>
    </w:p>
    <w:p w:rsidR="00FF5290" w:rsidRPr="00B611A1" w:rsidRDefault="00B611A1" w:rsidP="00B611A1">
      <w:pPr>
        <w:numPr>
          <w:ilvl w:val="0"/>
          <w:numId w:val="15"/>
        </w:numPr>
        <w:spacing w:after="0" w:line="240" w:lineRule="auto"/>
        <w:ind w:left="426" w:hanging="426"/>
        <w:jc w:val="both"/>
        <w:rPr>
          <w:rFonts w:asciiTheme="majorBidi" w:hAnsiTheme="majorBidi" w:cstheme="majorBidi"/>
          <w:sz w:val="24"/>
          <w:szCs w:val="24"/>
        </w:rPr>
      </w:pPr>
      <w:r w:rsidRPr="00B611A1">
        <w:rPr>
          <w:rFonts w:asciiTheme="majorBidi" w:hAnsiTheme="majorBidi" w:cstheme="majorBidi"/>
          <w:sz w:val="24"/>
          <w:szCs w:val="24"/>
        </w:rPr>
        <w:t>Les</w:t>
      </w:r>
      <w:r w:rsidR="00FF5290" w:rsidRPr="00B611A1">
        <w:rPr>
          <w:rFonts w:asciiTheme="majorBidi" w:hAnsiTheme="majorBidi" w:cstheme="majorBidi"/>
          <w:sz w:val="24"/>
          <w:szCs w:val="24"/>
        </w:rPr>
        <w:t xml:space="preserve"> prestations réalisées par les compagnies d’assurance et les opérations de crédit à la construction</w:t>
      </w:r>
      <w:r w:rsidR="00F96520">
        <w:rPr>
          <w:rFonts w:asciiTheme="majorBidi" w:hAnsiTheme="majorBidi" w:cstheme="majorBidi"/>
          <w:sz w:val="24"/>
          <w:szCs w:val="24"/>
        </w:rPr>
        <w:t xml:space="preserve"> se rapportant au logement social</w:t>
      </w:r>
      <w:r w:rsidR="00FF5290" w:rsidRPr="00B611A1">
        <w:rPr>
          <w:rFonts w:asciiTheme="majorBidi" w:hAnsiTheme="majorBidi" w:cstheme="majorBidi"/>
          <w:sz w:val="24"/>
          <w:szCs w:val="24"/>
        </w:rPr>
        <w:t xml:space="preserve"> et le crédit foncier </w:t>
      </w:r>
    </w:p>
    <w:p w:rsidR="00FF5290" w:rsidRPr="00B611A1" w:rsidRDefault="00B611A1" w:rsidP="00B611A1">
      <w:pPr>
        <w:numPr>
          <w:ilvl w:val="0"/>
          <w:numId w:val="15"/>
        </w:numPr>
        <w:spacing w:after="0" w:line="240" w:lineRule="auto"/>
        <w:ind w:left="426" w:hanging="426"/>
        <w:jc w:val="both"/>
        <w:rPr>
          <w:rFonts w:asciiTheme="majorBidi" w:hAnsiTheme="majorBidi" w:cstheme="majorBidi"/>
          <w:sz w:val="24"/>
          <w:szCs w:val="24"/>
        </w:rPr>
      </w:pPr>
      <w:r w:rsidRPr="00B611A1">
        <w:rPr>
          <w:rFonts w:asciiTheme="majorBidi" w:hAnsiTheme="majorBidi" w:cstheme="majorBidi"/>
          <w:sz w:val="24"/>
          <w:szCs w:val="24"/>
        </w:rPr>
        <w:t>Les</w:t>
      </w:r>
      <w:r w:rsidR="00FF5290" w:rsidRPr="00B611A1">
        <w:rPr>
          <w:rFonts w:asciiTheme="majorBidi" w:hAnsiTheme="majorBidi" w:cstheme="majorBidi"/>
          <w:sz w:val="24"/>
          <w:szCs w:val="24"/>
        </w:rPr>
        <w:t xml:space="preserve"> associations à but non </w:t>
      </w:r>
      <w:r w:rsidRPr="00B611A1">
        <w:rPr>
          <w:rFonts w:asciiTheme="majorBidi" w:hAnsiTheme="majorBidi" w:cstheme="majorBidi"/>
          <w:sz w:val="24"/>
          <w:szCs w:val="24"/>
        </w:rPr>
        <w:t>lucratif,</w:t>
      </w:r>
      <w:r w:rsidR="00FF5290" w:rsidRPr="00B611A1">
        <w:rPr>
          <w:rFonts w:asciiTheme="majorBidi" w:hAnsiTheme="majorBidi" w:cstheme="majorBidi"/>
          <w:sz w:val="24"/>
          <w:szCs w:val="24"/>
        </w:rPr>
        <w:t xml:space="preserve"> et les opérations de crédit effectuées par les associations de micro-crédit </w:t>
      </w:r>
    </w:p>
    <w:p w:rsidR="00FF5290" w:rsidRPr="00B611A1" w:rsidRDefault="00F96520" w:rsidP="00B611A1">
      <w:pPr>
        <w:numPr>
          <w:ilvl w:val="0"/>
          <w:numId w:val="15"/>
        </w:numPr>
        <w:spacing w:after="0" w:line="240" w:lineRule="auto"/>
        <w:ind w:left="426" w:hanging="426"/>
        <w:jc w:val="both"/>
        <w:rPr>
          <w:rFonts w:asciiTheme="majorBidi" w:hAnsiTheme="majorBidi" w:cstheme="majorBidi"/>
          <w:sz w:val="24"/>
          <w:szCs w:val="24"/>
        </w:rPr>
      </w:pPr>
      <w:r>
        <w:t xml:space="preserve">les opérations d'escompte et </w:t>
      </w:r>
      <w:r w:rsidR="00FF5290" w:rsidRPr="00B611A1">
        <w:rPr>
          <w:rFonts w:asciiTheme="majorBidi" w:hAnsiTheme="majorBidi" w:cstheme="majorBidi"/>
          <w:sz w:val="24"/>
          <w:szCs w:val="24"/>
        </w:rPr>
        <w:t xml:space="preserve">Les intérêts des prêts accordés par les sociétés de financement, au même titre que ceux accordés aux étudiants de l’enseignement privé et à la formation professionnelle par les établissements </w:t>
      </w:r>
      <w:r w:rsidR="00B611A1" w:rsidRPr="00B611A1">
        <w:rPr>
          <w:rFonts w:asciiTheme="majorBidi" w:hAnsiTheme="majorBidi" w:cstheme="majorBidi"/>
          <w:sz w:val="24"/>
          <w:szCs w:val="24"/>
        </w:rPr>
        <w:t>bancaires ;</w:t>
      </w:r>
      <w:r w:rsidR="00FF5290" w:rsidRPr="00B611A1">
        <w:rPr>
          <w:rFonts w:asciiTheme="majorBidi" w:hAnsiTheme="majorBidi" w:cstheme="majorBidi"/>
          <w:sz w:val="24"/>
          <w:szCs w:val="24"/>
        </w:rPr>
        <w:t xml:space="preserve"> </w:t>
      </w:r>
    </w:p>
    <w:p w:rsidR="00FF5290" w:rsidRPr="00B611A1" w:rsidRDefault="00FF5290" w:rsidP="00B611A1">
      <w:pPr>
        <w:numPr>
          <w:ilvl w:val="0"/>
          <w:numId w:val="15"/>
        </w:numPr>
        <w:spacing w:after="0" w:line="240" w:lineRule="auto"/>
        <w:ind w:left="426" w:hanging="426"/>
        <w:jc w:val="both"/>
        <w:rPr>
          <w:rFonts w:asciiTheme="majorBidi" w:hAnsiTheme="majorBidi" w:cstheme="majorBidi"/>
          <w:sz w:val="24"/>
          <w:szCs w:val="24"/>
        </w:rPr>
      </w:pPr>
      <w:r w:rsidRPr="00B611A1">
        <w:rPr>
          <w:rFonts w:asciiTheme="majorBidi" w:hAnsiTheme="majorBidi" w:cstheme="majorBidi"/>
          <w:sz w:val="24"/>
          <w:szCs w:val="24"/>
        </w:rPr>
        <w:t>Les ventes portant sur les appareillages spécialisés destinés aux handicapés, etc.</w:t>
      </w:r>
    </w:p>
    <w:p w:rsidR="00AE68F8" w:rsidRPr="00B611A1" w:rsidRDefault="00AE68F8" w:rsidP="00B611A1">
      <w:pPr>
        <w:pStyle w:val="Paragraphedeliste"/>
        <w:numPr>
          <w:ilvl w:val="0"/>
          <w:numId w:val="13"/>
        </w:numPr>
        <w:spacing w:before="120" w:after="120" w:line="240" w:lineRule="auto"/>
        <w:ind w:left="284"/>
        <w:jc w:val="both"/>
        <w:rPr>
          <w:rFonts w:asciiTheme="majorBidi" w:hAnsiTheme="majorBidi" w:cstheme="majorBidi"/>
          <w:b/>
          <w:bCs/>
          <w:i/>
          <w:iCs/>
          <w:sz w:val="24"/>
          <w:szCs w:val="24"/>
        </w:rPr>
      </w:pPr>
      <w:r w:rsidRPr="00B611A1">
        <w:rPr>
          <w:rFonts w:asciiTheme="majorBidi" w:hAnsiTheme="majorBidi" w:cstheme="majorBidi"/>
          <w:b/>
          <w:bCs/>
          <w:i/>
          <w:iCs/>
          <w:sz w:val="24"/>
          <w:szCs w:val="24"/>
        </w:rPr>
        <w:t xml:space="preserve">Exonérations avec droit à déduction (art 92) : </w:t>
      </w:r>
    </w:p>
    <w:p w:rsidR="00AE68F8" w:rsidRPr="00B611A1" w:rsidRDefault="00B611A1" w:rsidP="00B611A1">
      <w:pPr>
        <w:ind w:left="426" w:hanging="426"/>
        <w:jc w:val="both"/>
        <w:rPr>
          <w:rFonts w:asciiTheme="majorBidi" w:hAnsiTheme="majorBidi" w:cstheme="majorBidi"/>
          <w:sz w:val="24"/>
          <w:szCs w:val="24"/>
        </w:rPr>
      </w:pPr>
      <w:r>
        <w:rPr>
          <w:rFonts w:asciiTheme="majorBidi" w:hAnsiTheme="majorBidi" w:cstheme="majorBidi"/>
          <w:sz w:val="24"/>
          <w:szCs w:val="24"/>
        </w:rPr>
        <w:t xml:space="preserve">           </w:t>
      </w:r>
      <w:r w:rsidR="00AE68F8" w:rsidRPr="00B611A1">
        <w:rPr>
          <w:rFonts w:asciiTheme="majorBidi" w:hAnsiTheme="majorBidi" w:cstheme="majorBidi"/>
          <w:sz w:val="24"/>
          <w:szCs w:val="24"/>
        </w:rPr>
        <w:t xml:space="preserve">Elles permettent à l’assujetti à vendre en hors taxe et à acheter avec TVA qu’il pourra récupérer par le biais de la déduction ou du remboursement. </w:t>
      </w:r>
    </w:p>
    <w:p w:rsidR="00AE68F8" w:rsidRPr="00B611A1" w:rsidRDefault="00AE68F8" w:rsidP="00B611A1">
      <w:pPr>
        <w:spacing w:before="120" w:after="120"/>
        <w:ind w:left="426" w:hanging="426"/>
        <w:jc w:val="both"/>
        <w:rPr>
          <w:rFonts w:asciiTheme="majorBidi" w:hAnsiTheme="majorBidi" w:cstheme="majorBidi"/>
          <w:sz w:val="24"/>
          <w:szCs w:val="24"/>
        </w:rPr>
      </w:pPr>
      <w:r w:rsidRPr="00B611A1">
        <w:rPr>
          <w:rFonts w:asciiTheme="majorBidi" w:hAnsiTheme="majorBidi" w:cstheme="majorBidi"/>
          <w:sz w:val="24"/>
          <w:szCs w:val="24"/>
        </w:rPr>
        <w:t>Sont exonérés de la taxe sur la valeur ajoutée avec droit à déduction :</w:t>
      </w:r>
    </w:p>
    <w:p w:rsidR="00AE68F8" w:rsidRDefault="00B611A1" w:rsidP="00B611A1">
      <w:pPr>
        <w:numPr>
          <w:ilvl w:val="0"/>
          <w:numId w:val="16"/>
        </w:numPr>
        <w:tabs>
          <w:tab w:val="clear" w:pos="720"/>
          <w:tab w:val="num" w:pos="426"/>
        </w:tabs>
        <w:spacing w:after="0" w:line="240" w:lineRule="auto"/>
        <w:ind w:left="426" w:hanging="426"/>
        <w:jc w:val="both"/>
        <w:rPr>
          <w:rFonts w:asciiTheme="majorBidi" w:hAnsiTheme="majorBidi" w:cstheme="majorBidi"/>
          <w:sz w:val="24"/>
          <w:szCs w:val="24"/>
        </w:rPr>
      </w:pPr>
      <w:r w:rsidRPr="00B611A1">
        <w:rPr>
          <w:rFonts w:asciiTheme="majorBidi" w:hAnsiTheme="majorBidi" w:cstheme="majorBidi"/>
          <w:sz w:val="24"/>
          <w:szCs w:val="24"/>
        </w:rPr>
        <w:lastRenderedPageBreak/>
        <w:t>Les</w:t>
      </w:r>
      <w:r w:rsidR="00AE68F8" w:rsidRPr="00B611A1">
        <w:rPr>
          <w:rFonts w:asciiTheme="majorBidi" w:hAnsiTheme="majorBidi" w:cstheme="majorBidi"/>
          <w:sz w:val="24"/>
          <w:szCs w:val="24"/>
        </w:rPr>
        <w:t xml:space="preserve"> opérations d’exportations de biens et services </w:t>
      </w:r>
    </w:p>
    <w:p w:rsidR="00F96520" w:rsidRDefault="00F96520" w:rsidP="00B611A1">
      <w:pPr>
        <w:numPr>
          <w:ilvl w:val="0"/>
          <w:numId w:val="16"/>
        </w:numPr>
        <w:tabs>
          <w:tab w:val="clear" w:pos="720"/>
          <w:tab w:val="num" w:pos="426"/>
        </w:tabs>
        <w:spacing w:after="0" w:line="24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Les dons </w:t>
      </w:r>
    </w:p>
    <w:p w:rsidR="00F96520" w:rsidRPr="00B611A1" w:rsidRDefault="00F96520" w:rsidP="00B611A1">
      <w:pPr>
        <w:numPr>
          <w:ilvl w:val="0"/>
          <w:numId w:val="16"/>
        </w:numPr>
        <w:tabs>
          <w:tab w:val="clear" w:pos="720"/>
          <w:tab w:val="num" w:pos="426"/>
        </w:tabs>
        <w:spacing w:after="0" w:line="24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Les marchandises ou objets placés sous les régimes suspensifs en douane </w:t>
      </w:r>
    </w:p>
    <w:p w:rsidR="00AE68F8" w:rsidRPr="00B611A1" w:rsidRDefault="00AE68F8" w:rsidP="00B611A1">
      <w:pPr>
        <w:numPr>
          <w:ilvl w:val="0"/>
          <w:numId w:val="16"/>
        </w:numPr>
        <w:tabs>
          <w:tab w:val="clear" w:pos="720"/>
          <w:tab w:val="num" w:pos="426"/>
        </w:tabs>
        <w:spacing w:after="0" w:line="240" w:lineRule="auto"/>
        <w:ind w:left="426" w:hanging="426"/>
        <w:jc w:val="both"/>
        <w:rPr>
          <w:rFonts w:asciiTheme="majorBidi" w:hAnsiTheme="majorBidi" w:cstheme="majorBidi"/>
          <w:sz w:val="24"/>
          <w:szCs w:val="24"/>
        </w:rPr>
      </w:pPr>
      <w:r w:rsidRPr="00B611A1">
        <w:rPr>
          <w:rFonts w:asciiTheme="majorBidi" w:hAnsiTheme="majorBidi" w:cstheme="majorBidi"/>
          <w:sz w:val="24"/>
          <w:szCs w:val="24"/>
        </w:rPr>
        <w:t>Les engins et filets de pêche destinés aux professionnels de la pêche maritime.</w:t>
      </w:r>
    </w:p>
    <w:p w:rsidR="00AE68F8" w:rsidRPr="00B611A1" w:rsidRDefault="00AE68F8" w:rsidP="00B611A1">
      <w:pPr>
        <w:numPr>
          <w:ilvl w:val="0"/>
          <w:numId w:val="16"/>
        </w:numPr>
        <w:tabs>
          <w:tab w:val="clear" w:pos="720"/>
          <w:tab w:val="num" w:pos="426"/>
        </w:tabs>
        <w:spacing w:after="0" w:line="240" w:lineRule="auto"/>
        <w:ind w:left="426" w:hanging="426"/>
        <w:jc w:val="both"/>
        <w:rPr>
          <w:rFonts w:asciiTheme="majorBidi" w:hAnsiTheme="majorBidi" w:cstheme="majorBidi"/>
          <w:sz w:val="24"/>
          <w:szCs w:val="24"/>
        </w:rPr>
      </w:pPr>
      <w:r w:rsidRPr="00B611A1">
        <w:rPr>
          <w:rFonts w:asciiTheme="majorBidi" w:hAnsiTheme="majorBidi" w:cstheme="majorBidi"/>
          <w:sz w:val="24"/>
          <w:szCs w:val="24"/>
        </w:rPr>
        <w:t>Les engrais, les produits et matériels destinés à usage agricole (tracteur, moissonneuse-batteuse, ramasseuse-presse, etc.) ;</w:t>
      </w:r>
    </w:p>
    <w:p w:rsidR="00AE68F8" w:rsidRPr="00B611A1" w:rsidRDefault="00AE68F8" w:rsidP="00B611A1">
      <w:pPr>
        <w:numPr>
          <w:ilvl w:val="0"/>
          <w:numId w:val="16"/>
        </w:numPr>
        <w:tabs>
          <w:tab w:val="clear" w:pos="720"/>
          <w:tab w:val="num" w:pos="426"/>
        </w:tabs>
        <w:spacing w:after="0" w:line="240" w:lineRule="auto"/>
        <w:ind w:left="426" w:hanging="426"/>
        <w:jc w:val="both"/>
        <w:rPr>
          <w:rFonts w:asciiTheme="majorBidi" w:hAnsiTheme="majorBidi" w:cstheme="majorBidi"/>
          <w:sz w:val="24"/>
          <w:szCs w:val="24"/>
        </w:rPr>
      </w:pPr>
      <w:r w:rsidRPr="00B611A1">
        <w:rPr>
          <w:rFonts w:asciiTheme="majorBidi" w:hAnsiTheme="majorBidi" w:cstheme="majorBidi"/>
          <w:sz w:val="24"/>
          <w:szCs w:val="24"/>
        </w:rPr>
        <w:t>Les biens d’équipement destinés à l’enseignement privé ou à la formation professionnelle</w:t>
      </w:r>
    </w:p>
    <w:p w:rsidR="00B611A1" w:rsidRDefault="00B611A1" w:rsidP="00B611A1">
      <w:pPr>
        <w:numPr>
          <w:ilvl w:val="0"/>
          <w:numId w:val="16"/>
        </w:numPr>
        <w:tabs>
          <w:tab w:val="clear" w:pos="720"/>
          <w:tab w:val="num" w:pos="426"/>
        </w:tabs>
        <w:spacing w:after="0" w:line="240" w:lineRule="auto"/>
        <w:ind w:left="426" w:hanging="426"/>
        <w:jc w:val="both"/>
        <w:rPr>
          <w:rFonts w:asciiTheme="majorBidi" w:hAnsiTheme="majorBidi" w:cstheme="majorBidi"/>
          <w:sz w:val="24"/>
          <w:szCs w:val="24"/>
        </w:rPr>
      </w:pPr>
      <w:r w:rsidRPr="00B611A1">
        <w:rPr>
          <w:rFonts w:asciiTheme="majorBidi" w:hAnsiTheme="majorBidi" w:cstheme="majorBidi"/>
          <w:sz w:val="24"/>
          <w:szCs w:val="24"/>
        </w:rPr>
        <w:t>Les</w:t>
      </w:r>
      <w:r w:rsidR="00AE68F8" w:rsidRPr="00B611A1">
        <w:rPr>
          <w:rFonts w:asciiTheme="majorBidi" w:hAnsiTheme="majorBidi" w:cstheme="majorBidi"/>
          <w:sz w:val="24"/>
          <w:szCs w:val="24"/>
        </w:rPr>
        <w:t xml:space="preserve"> opérations de transport international et les prestations de services qui leurs sont liées </w:t>
      </w:r>
    </w:p>
    <w:p w:rsidR="00AE68F8" w:rsidRDefault="00AE68F8" w:rsidP="00B611A1">
      <w:pPr>
        <w:numPr>
          <w:ilvl w:val="0"/>
          <w:numId w:val="16"/>
        </w:numPr>
        <w:tabs>
          <w:tab w:val="clear" w:pos="720"/>
          <w:tab w:val="num" w:pos="426"/>
        </w:tabs>
        <w:spacing w:after="0" w:line="240" w:lineRule="auto"/>
        <w:ind w:left="426" w:hanging="426"/>
        <w:jc w:val="both"/>
        <w:rPr>
          <w:rFonts w:asciiTheme="majorBidi" w:hAnsiTheme="majorBidi" w:cstheme="majorBidi"/>
          <w:sz w:val="24"/>
          <w:szCs w:val="24"/>
        </w:rPr>
      </w:pPr>
      <w:r w:rsidRPr="00B611A1">
        <w:rPr>
          <w:rFonts w:asciiTheme="majorBidi" w:hAnsiTheme="majorBidi" w:cstheme="majorBidi"/>
          <w:sz w:val="24"/>
          <w:szCs w:val="24"/>
        </w:rPr>
        <w:t xml:space="preserve">le transport international désigne les opérations de transport en provenance ou à destination de l’étranger. </w:t>
      </w:r>
      <w:r w:rsidR="00B611A1" w:rsidRPr="00B611A1">
        <w:rPr>
          <w:rFonts w:asciiTheme="majorBidi" w:hAnsiTheme="majorBidi" w:cstheme="majorBidi"/>
          <w:sz w:val="24"/>
          <w:szCs w:val="24"/>
        </w:rPr>
        <w:t>L’exonération</w:t>
      </w:r>
      <w:r w:rsidRPr="00B611A1">
        <w:rPr>
          <w:rFonts w:asciiTheme="majorBidi" w:hAnsiTheme="majorBidi" w:cstheme="majorBidi"/>
          <w:sz w:val="24"/>
          <w:szCs w:val="24"/>
        </w:rPr>
        <w:t xml:space="preserve"> porte sur la totalité de l’opération</w:t>
      </w:r>
    </w:p>
    <w:p w:rsidR="00F96520" w:rsidRPr="00B611A1" w:rsidRDefault="00F96520" w:rsidP="00B611A1">
      <w:pPr>
        <w:numPr>
          <w:ilvl w:val="0"/>
          <w:numId w:val="16"/>
        </w:numPr>
        <w:tabs>
          <w:tab w:val="clear" w:pos="720"/>
          <w:tab w:val="num" w:pos="426"/>
        </w:tabs>
        <w:spacing w:after="0" w:line="24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les opérations effectuées par les banques et des sociétés holding offshore </w:t>
      </w:r>
    </w:p>
    <w:p w:rsidR="00AE68F8" w:rsidRPr="00B611A1" w:rsidRDefault="00B611A1" w:rsidP="00B611A1">
      <w:pPr>
        <w:pStyle w:val="Paragraphedeliste"/>
        <w:numPr>
          <w:ilvl w:val="0"/>
          <w:numId w:val="16"/>
        </w:numPr>
        <w:spacing w:after="0" w:line="240" w:lineRule="auto"/>
        <w:ind w:left="426" w:hanging="426"/>
        <w:jc w:val="both"/>
        <w:rPr>
          <w:rFonts w:asciiTheme="majorBidi" w:hAnsiTheme="majorBidi" w:cstheme="majorBidi"/>
          <w:sz w:val="24"/>
          <w:szCs w:val="24"/>
        </w:rPr>
      </w:pPr>
      <w:r w:rsidRPr="00B611A1">
        <w:rPr>
          <w:rFonts w:asciiTheme="majorBidi" w:hAnsiTheme="majorBidi" w:cstheme="majorBidi"/>
          <w:sz w:val="24"/>
          <w:szCs w:val="24"/>
        </w:rPr>
        <w:t>Les</w:t>
      </w:r>
      <w:r w:rsidR="00AE68F8" w:rsidRPr="00B611A1">
        <w:rPr>
          <w:rFonts w:asciiTheme="majorBidi" w:hAnsiTheme="majorBidi" w:cstheme="majorBidi"/>
          <w:sz w:val="24"/>
          <w:szCs w:val="24"/>
        </w:rPr>
        <w:t xml:space="preserve"> autocars, camions et biens d’équipement y afférents à inscrire dans un compte d’immobilisation, acquis par les entreprises de transport international routier </w:t>
      </w:r>
    </w:p>
    <w:p w:rsidR="00AE68F8" w:rsidRPr="00B611A1" w:rsidRDefault="00B611A1" w:rsidP="00B611A1">
      <w:pPr>
        <w:pStyle w:val="Paragraphedeliste"/>
        <w:numPr>
          <w:ilvl w:val="0"/>
          <w:numId w:val="16"/>
        </w:numPr>
        <w:spacing w:after="0" w:line="240" w:lineRule="auto"/>
        <w:ind w:left="426" w:hanging="426"/>
        <w:jc w:val="both"/>
        <w:rPr>
          <w:rFonts w:asciiTheme="majorBidi" w:hAnsiTheme="majorBidi" w:cstheme="majorBidi"/>
          <w:sz w:val="24"/>
          <w:szCs w:val="24"/>
        </w:rPr>
      </w:pPr>
      <w:r w:rsidRPr="00B611A1">
        <w:rPr>
          <w:rFonts w:asciiTheme="majorBidi" w:hAnsiTheme="majorBidi" w:cstheme="majorBidi"/>
          <w:sz w:val="24"/>
          <w:szCs w:val="24"/>
        </w:rPr>
        <w:t>Les</w:t>
      </w:r>
      <w:r w:rsidR="00AE68F8" w:rsidRPr="00B611A1">
        <w:rPr>
          <w:rFonts w:asciiTheme="majorBidi" w:hAnsiTheme="majorBidi" w:cstheme="majorBidi"/>
          <w:sz w:val="24"/>
          <w:szCs w:val="24"/>
        </w:rPr>
        <w:t xml:space="preserve"> produits livrés et les prestations de services rendues aux zones franches d’exportation </w:t>
      </w:r>
    </w:p>
    <w:p w:rsidR="00FF5290" w:rsidRPr="00B611A1" w:rsidRDefault="00FF5290" w:rsidP="00B611A1">
      <w:pPr>
        <w:spacing w:after="0" w:line="240" w:lineRule="auto"/>
        <w:ind w:left="426" w:hanging="426"/>
        <w:jc w:val="both"/>
        <w:rPr>
          <w:rFonts w:asciiTheme="majorBidi" w:hAnsiTheme="majorBidi" w:cstheme="majorBidi"/>
          <w:b/>
          <w:bCs/>
          <w:sz w:val="24"/>
          <w:szCs w:val="24"/>
          <w:u w:val="single"/>
        </w:rPr>
      </w:pPr>
    </w:p>
    <w:p w:rsidR="001F1F8E" w:rsidRPr="00B611A1" w:rsidRDefault="001F1F8E" w:rsidP="00B611A1">
      <w:pPr>
        <w:pStyle w:val="Paragraphedeliste"/>
        <w:numPr>
          <w:ilvl w:val="1"/>
          <w:numId w:val="14"/>
        </w:numPr>
        <w:jc w:val="both"/>
        <w:rPr>
          <w:rFonts w:asciiTheme="majorBidi" w:hAnsiTheme="majorBidi" w:cstheme="majorBidi"/>
          <w:b/>
          <w:bCs/>
          <w:sz w:val="24"/>
          <w:szCs w:val="24"/>
          <w:u w:val="single"/>
        </w:rPr>
      </w:pPr>
      <w:r w:rsidRPr="00B611A1">
        <w:rPr>
          <w:rFonts w:asciiTheme="majorBidi" w:hAnsiTheme="majorBidi" w:cstheme="majorBidi"/>
          <w:b/>
          <w:bCs/>
          <w:sz w:val="24"/>
          <w:szCs w:val="24"/>
          <w:u w:val="single"/>
        </w:rPr>
        <w:t>Opérations imposables par option</w:t>
      </w:r>
    </w:p>
    <w:p w:rsidR="001F1F8E" w:rsidRPr="00B611A1" w:rsidRDefault="00B611A1" w:rsidP="00B611A1">
      <w:pPr>
        <w:ind w:left="-142" w:hanging="426"/>
        <w:jc w:val="both"/>
        <w:rPr>
          <w:rFonts w:asciiTheme="majorBidi" w:hAnsiTheme="majorBidi" w:cstheme="majorBidi"/>
          <w:sz w:val="24"/>
          <w:szCs w:val="24"/>
        </w:rPr>
      </w:pPr>
      <w:r>
        <w:rPr>
          <w:rFonts w:asciiTheme="majorBidi" w:hAnsiTheme="majorBidi" w:cstheme="majorBidi"/>
          <w:sz w:val="24"/>
          <w:szCs w:val="24"/>
        </w:rPr>
        <w:t xml:space="preserve">             </w:t>
      </w:r>
      <w:r w:rsidRPr="00B611A1">
        <w:rPr>
          <w:rFonts w:asciiTheme="majorBidi" w:hAnsiTheme="majorBidi" w:cstheme="majorBidi"/>
          <w:sz w:val="24"/>
          <w:szCs w:val="24"/>
        </w:rPr>
        <w:t>Certaines</w:t>
      </w:r>
      <w:r w:rsidR="001F1F8E" w:rsidRPr="00B611A1">
        <w:rPr>
          <w:rFonts w:asciiTheme="majorBidi" w:hAnsiTheme="majorBidi" w:cstheme="majorBidi"/>
          <w:sz w:val="24"/>
          <w:szCs w:val="24"/>
        </w:rPr>
        <w:t xml:space="preserve"> personnes exonérées de la TVA peuvent demander l’autorisation de l’acquitter. </w:t>
      </w:r>
      <w:r w:rsidRPr="00B611A1">
        <w:rPr>
          <w:rFonts w:asciiTheme="majorBidi" w:hAnsiTheme="majorBidi" w:cstheme="majorBidi"/>
          <w:sz w:val="24"/>
          <w:szCs w:val="24"/>
        </w:rPr>
        <w:t>Il</w:t>
      </w:r>
      <w:r w:rsidR="001F1F8E" w:rsidRPr="00B611A1">
        <w:rPr>
          <w:rFonts w:asciiTheme="majorBidi" w:hAnsiTheme="majorBidi" w:cstheme="majorBidi"/>
          <w:sz w:val="24"/>
          <w:szCs w:val="24"/>
        </w:rPr>
        <w:t xml:space="preserve"> s’agit d’un assujettissement par option que la loi ouvre aux opérateurs suivants : </w:t>
      </w:r>
    </w:p>
    <w:p w:rsidR="00B611A1" w:rsidRDefault="00B611A1" w:rsidP="00B611A1">
      <w:pPr>
        <w:pStyle w:val="Paragraphedeliste"/>
        <w:numPr>
          <w:ilvl w:val="0"/>
          <w:numId w:val="17"/>
        </w:numPr>
        <w:ind w:left="284"/>
        <w:jc w:val="both"/>
        <w:rPr>
          <w:rFonts w:asciiTheme="majorBidi" w:hAnsiTheme="majorBidi" w:cstheme="majorBidi"/>
          <w:sz w:val="24"/>
          <w:szCs w:val="24"/>
        </w:rPr>
      </w:pPr>
      <w:r w:rsidRPr="00B611A1">
        <w:rPr>
          <w:rFonts w:asciiTheme="majorBidi" w:hAnsiTheme="majorBidi" w:cstheme="majorBidi"/>
          <w:sz w:val="24"/>
          <w:szCs w:val="24"/>
        </w:rPr>
        <w:t>Les</w:t>
      </w:r>
      <w:r w:rsidR="001F1F8E" w:rsidRPr="00B611A1">
        <w:rPr>
          <w:rFonts w:asciiTheme="majorBidi" w:hAnsiTheme="majorBidi" w:cstheme="majorBidi"/>
          <w:sz w:val="24"/>
          <w:szCs w:val="24"/>
        </w:rPr>
        <w:t xml:space="preserve"> exportateurs de biens et de services à concurrence du chiffre d’affaires réalisé à l’export </w:t>
      </w:r>
    </w:p>
    <w:p w:rsidR="00B611A1" w:rsidRDefault="00B611A1" w:rsidP="00B611A1">
      <w:pPr>
        <w:pStyle w:val="Paragraphedeliste"/>
        <w:numPr>
          <w:ilvl w:val="0"/>
          <w:numId w:val="17"/>
        </w:numPr>
        <w:ind w:left="284"/>
        <w:jc w:val="both"/>
        <w:rPr>
          <w:rFonts w:asciiTheme="majorBidi" w:hAnsiTheme="majorBidi" w:cstheme="majorBidi"/>
          <w:sz w:val="24"/>
          <w:szCs w:val="24"/>
        </w:rPr>
      </w:pPr>
      <w:r w:rsidRPr="00B611A1">
        <w:rPr>
          <w:rFonts w:asciiTheme="majorBidi" w:hAnsiTheme="majorBidi" w:cstheme="majorBidi"/>
          <w:sz w:val="24"/>
          <w:szCs w:val="24"/>
        </w:rPr>
        <w:t>Les</w:t>
      </w:r>
      <w:r w:rsidR="001F1F8E" w:rsidRPr="00B611A1">
        <w:rPr>
          <w:rFonts w:asciiTheme="majorBidi" w:hAnsiTheme="majorBidi" w:cstheme="majorBidi"/>
          <w:sz w:val="24"/>
          <w:szCs w:val="24"/>
        </w:rPr>
        <w:t xml:space="preserve"> petits producteurs et petits </w:t>
      </w:r>
      <w:r w:rsidRPr="00B611A1">
        <w:rPr>
          <w:rFonts w:asciiTheme="majorBidi" w:hAnsiTheme="majorBidi" w:cstheme="majorBidi"/>
          <w:sz w:val="24"/>
          <w:szCs w:val="24"/>
        </w:rPr>
        <w:t>prestataires</w:t>
      </w:r>
      <w:r w:rsidR="001F1F8E" w:rsidRPr="00B611A1">
        <w:rPr>
          <w:rFonts w:asciiTheme="majorBidi" w:hAnsiTheme="majorBidi" w:cstheme="majorBidi"/>
          <w:sz w:val="24"/>
          <w:szCs w:val="24"/>
        </w:rPr>
        <w:t xml:space="preserve"> dont le chiffre d’affaires annuel ne dépasse pas 500 000 DH </w:t>
      </w:r>
    </w:p>
    <w:p w:rsidR="001F1F8E" w:rsidRDefault="00B611A1" w:rsidP="00B611A1">
      <w:pPr>
        <w:pStyle w:val="Paragraphedeliste"/>
        <w:numPr>
          <w:ilvl w:val="0"/>
          <w:numId w:val="17"/>
        </w:numPr>
        <w:ind w:left="284"/>
        <w:jc w:val="both"/>
        <w:rPr>
          <w:rFonts w:asciiTheme="majorBidi" w:hAnsiTheme="majorBidi" w:cstheme="majorBidi"/>
          <w:sz w:val="24"/>
          <w:szCs w:val="24"/>
        </w:rPr>
      </w:pPr>
      <w:r w:rsidRPr="00B611A1">
        <w:rPr>
          <w:rFonts w:asciiTheme="majorBidi" w:hAnsiTheme="majorBidi" w:cstheme="majorBidi"/>
          <w:sz w:val="24"/>
          <w:szCs w:val="24"/>
        </w:rPr>
        <w:t>Les</w:t>
      </w:r>
      <w:r w:rsidR="001F1F8E" w:rsidRPr="00B611A1">
        <w:rPr>
          <w:rFonts w:asciiTheme="majorBidi" w:hAnsiTheme="majorBidi" w:cstheme="majorBidi"/>
          <w:sz w:val="24"/>
          <w:szCs w:val="24"/>
        </w:rPr>
        <w:t xml:space="preserve"> </w:t>
      </w:r>
      <w:r w:rsidRPr="00B611A1">
        <w:rPr>
          <w:rFonts w:asciiTheme="majorBidi" w:hAnsiTheme="majorBidi" w:cstheme="majorBidi"/>
          <w:sz w:val="24"/>
          <w:szCs w:val="24"/>
        </w:rPr>
        <w:t>commerçants</w:t>
      </w:r>
      <w:r w:rsidR="001F1F8E" w:rsidRPr="00B611A1">
        <w:rPr>
          <w:rFonts w:asciiTheme="majorBidi" w:hAnsiTheme="majorBidi" w:cstheme="majorBidi"/>
          <w:sz w:val="24"/>
          <w:szCs w:val="24"/>
        </w:rPr>
        <w:t xml:space="preserve"> non assujettis revendeurs en l’état de produits et dont le chiffre d’affaires est </w:t>
      </w:r>
      <w:r w:rsidRPr="00B611A1">
        <w:rPr>
          <w:rFonts w:asciiTheme="majorBidi" w:hAnsiTheme="majorBidi" w:cstheme="majorBidi"/>
          <w:sz w:val="24"/>
          <w:szCs w:val="24"/>
        </w:rPr>
        <w:t>inférieur</w:t>
      </w:r>
      <w:r w:rsidR="001F1F8E" w:rsidRPr="00B611A1">
        <w:rPr>
          <w:rFonts w:asciiTheme="majorBidi" w:hAnsiTheme="majorBidi" w:cstheme="majorBidi"/>
          <w:sz w:val="24"/>
          <w:szCs w:val="24"/>
        </w:rPr>
        <w:t xml:space="preserve"> ou égal à 2 000 000 DH </w:t>
      </w:r>
    </w:p>
    <w:p w:rsidR="000F69F4" w:rsidRPr="00B611A1" w:rsidRDefault="000F69F4" w:rsidP="00B611A1">
      <w:pPr>
        <w:pStyle w:val="Paragraphedeliste"/>
        <w:numPr>
          <w:ilvl w:val="0"/>
          <w:numId w:val="17"/>
        </w:numPr>
        <w:ind w:left="284"/>
        <w:jc w:val="both"/>
        <w:rPr>
          <w:rFonts w:asciiTheme="majorBidi" w:hAnsiTheme="majorBidi" w:cstheme="majorBidi"/>
          <w:sz w:val="24"/>
          <w:szCs w:val="24"/>
        </w:rPr>
      </w:pPr>
      <w:proofErr w:type="gramStart"/>
      <w:r>
        <w:rPr>
          <w:rFonts w:asciiTheme="majorBidi" w:hAnsiTheme="majorBidi" w:cstheme="majorBidi"/>
          <w:sz w:val="24"/>
          <w:szCs w:val="24"/>
        </w:rPr>
        <w:t>la</w:t>
      </w:r>
      <w:proofErr w:type="gramEnd"/>
      <w:r>
        <w:rPr>
          <w:rFonts w:asciiTheme="majorBidi" w:hAnsiTheme="majorBidi" w:cstheme="majorBidi"/>
          <w:sz w:val="24"/>
          <w:szCs w:val="24"/>
        </w:rPr>
        <w:t xml:space="preserve"> location des immeubles nus à usage professionnel </w:t>
      </w:r>
    </w:p>
    <w:p w:rsidR="001F1F8E" w:rsidRPr="00B611A1" w:rsidRDefault="00B611A1" w:rsidP="00B611A1">
      <w:pPr>
        <w:ind w:left="-142" w:hanging="426"/>
        <w:jc w:val="both"/>
        <w:rPr>
          <w:rFonts w:asciiTheme="majorBidi" w:hAnsiTheme="majorBidi" w:cstheme="majorBidi"/>
          <w:sz w:val="24"/>
          <w:szCs w:val="24"/>
        </w:rPr>
      </w:pPr>
      <w:r>
        <w:rPr>
          <w:rFonts w:asciiTheme="majorBidi" w:hAnsiTheme="majorBidi" w:cstheme="majorBidi"/>
          <w:sz w:val="24"/>
          <w:szCs w:val="24"/>
        </w:rPr>
        <w:t xml:space="preserve">                   </w:t>
      </w:r>
      <w:r w:rsidRPr="00B611A1">
        <w:rPr>
          <w:rFonts w:asciiTheme="majorBidi" w:hAnsiTheme="majorBidi" w:cstheme="majorBidi"/>
          <w:sz w:val="24"/>
          <w:szCs w:val="24"/>
        </w:rPr>
        <w:t>L’option</w:t>
      </w:r>
      <w:r w:rsidR="001F1F8E" w:rsidRPr="00B611A1">
        <w:rPr>
          <w:rFonts w:asciiTheme="majorBidi" w:hAnsiTheme="majorBidi" w:cstheme="majorBidi"/>
          <w:sz w:val="24"/>
          <w:szCs w:val="24"/>
        </w:rPr>
        <w:t xml:space="preserve"> est exercée sur demande de l’opérateur concerné elle peut porter sur l’ensemble des activités </w:t>
      </w:r>
      <w:r w:rsidRPr="00B611A1">
        <w:rPr>
          <w:rFonts w:asciiTheme="majorBidi" w:hAnsiTheme="majorBidi" w:cstheme="majorBidi"/>
          <w:sz w:val="24"/>
          <w:szCs w:val="24"/>
        </w:rPr>
        <w:t>du contribuable</w:t>
      </w:r>
      <w:r w:rsidR="001F1F8E" w:rsidRPr="00B611A1">
        <w:rPr>
          <w:rFonts w:asciiTheme="majorBidi" w:hAnsiTheme="majorBidi" w:cstheme="majorBidi"/>
          <w:sz w:val="24"/>
          <w:szCs w:val="24"/>
        </w:rPr>
        <w:t xml:space="preserve"> en totalité ou en partie </w:t>
      </w:r>
    </w:p>
    <w:p w:rsidR="001F1F8E" w:rsidRPr="00B611A1" w:rsidRDefault="00F50558" w:rsidP="00B611A1">
      <w:pPr>
        <w:ind w:left="426" w:hanging="426"/>
        <w:jc w:val="both"/>
        <w:rPr>
          <w:rFonts w:asciiTheme="majorBidi" w:hAnsiTheme="majorBidi" w:cstheme="majorBidi"/>
          <w:sz w:val="24"/>
          <w:szCs w:val="24"/>
        </w:rPr>
      </w:pPr>
      <w:r w:rsidRPr="00B611A1">
        <w:rPr>
          <w:rFonts w:asciiTheme="majorBidi" w:hAnsiTheme="majorBidi" w:cstheme="majorBidi"/>
          <w:sz w:val="24"/>
          <w:szCs w:val="24"/>
        </w:rPr>
        <w:t>L’assujettissement</w:t>
      </w:r>
      <w:r w:rsidR="001F1F8E" w:rsidRPr="00B611A1">
        <w:rPr>
          <w:rFonts w:asciiTheme="majorBidi" w:hAnsiTheme="majorBidi" w:cstheme="majorBidi"/>
          <w:sz w:val="24"/>
          <w:szCs w:val="24"/>
        </w:rPr>
        <w:t xml:space="preserve"> à la TVA par option est justifié par des considérations financières et commerciales </w:t>
      </w:r>
    </w:p>
    <w:p w:rsidR="001F1F8E" w:rsidRPr="00B611A1" w:rsidRDefault="00B611A1" w:rsidP="00B611A1">
      <w:pPr>
        <w:ind w:left="-142" w:hanging="426"/>
        <w:jc w:val="both"/>
        <w:rPr>
          <w:rFonts w:asciiTheme="majorBidi" w:hAnsiTheme="majorBidi" w:cstheme="majorBidi"/>
          <w:sz w:val="24"/>
          <w:szCs w:val="24"/>
        </w:rPr>
      </w:pPr>
      <w:r>
        <w:rPr>
          <w:rFonts w:asciiTheme="majorBidi" w:hAnsiTheme="majorBidi" w:cstheme="majorBidi"/>
          <w:sz w:val="24"/>
          <w:szCs w:val="24"/>
        </w:rPr>
        <w:t xml:space="preserve">              </w:t>
      </w:r>
      <w:r w:rsidRPr="00B611A1">
        <w:rPr>
          <w:rFonts w:asciiTheme="majorBidi" w:hAnsiTheme="majorBidi" w:cstheme="majorBidi"/>
          <w:sz w:val="24"/>
          <w:szCs w:val="24"/>
        </w:rPr>
        <w:t>Les</w:t>
      </w:r>
      <w:r w:rsidR="001F1F8E" w:rsidRPr="00B611A1">
        <w:rPr>
          <w:rFonts w:asciiTheme="majorBidi" w:hAnsiTheme="majorBidi" w:cstheme="majorBidi"/>
          <w:sz w:val="24"/>
          <w:szCs w:val="24"/>
        </w:rPr>
        <w:t xml:space="preserve"> personnes exonérées se trouvent pénalisées du fait qu’elles ne peuvent récupérer la TVA sur leurs achats notamment dans le cas d’une exonération sans droit à </w:t>
      </w:r>
      <w:r w:rsidRPr="00B611A1">
        <w:rPr>
          <w:rFonts w:asciiTheme="majorBidi" w:hAnsiTheme="majorBidi" w:cstheme="majorBidi"/>
          <w:sz w:val="24"/>
          <w:szCs w:val="24"/>
        </w:rPr>
        <w:t>déduction</w:t>
      </w:r>
      <w:r w:rsidR="001F1F8E" w:rsidRPr="00B611A1">
        <w:rPr>
          <w:rFonts w:asciiTheme="majorBidi" w:hAnsiTheme="majorBidi" w:cstheme="majorBidi"/>
          <w:sz w:val="24"/>
          <w:szCs w:val="24"/>
        </w:rPr>
        <w:t xml:space="preserve"> (petits producteurs, </w:t>
      </w:r>
      <w:r w:rsidRPr="00B611A1">
        <w:rPr>
          <w:rFonts w:asciiTheme="majorBidi" w:hAnsiTheme="majorBidi" w:cstheme="majorBidi"/>
          <w:sz w:val="24"/>
          <w:szCs w:val="24"/>
        </w:rPr>
        <w:t>commerçant</w:t>
      </w:r>
      <w:r w:rsidR="001F1F8E" w:rsidRPr="00B611A1">
        <w:rPr>
          <w:rFonts w:asciiTheme="majorBidi" w:hAnsiTheme="majorBidi" w:cstheme="majorBidi"/>
          <w:sz w:val="24"/>
          <w:szCs w:val="24"/>
        </w:rPr>
        <w:t xml:space="preserve"> détaillants). </w:t>
      </w:r>
      <w:r w:rsidR="00F50558" w:rsidRPr="00B611A1">
        <w:rPr>
          <w:rFonts w:asciiTheme="majorBidi" w:hAnsiTheme="majorBidi" w:cstheme="majorBidi"/>
          <w:sz w:val="24"/>
          <w:szCs w:val="24"/>
        </w:rPr>
        <w:t xml:space="preserve">L’option </w:t>
      </w:r>
      <w:r w:rsidR="00FF5290" w:rsidRPr="00B611A1">
        <w:rPr>
          <w:rFonts w:asciiTheme="majorBidi" w:hAnsiTheme="majorBidi" w:cstheme="majorBidi"/>
          <w:sz w:val="24"/>
          <w:szCs w:val="24"/>
        </w:rPr>
        <w:t>leur</w:t>
      </w:r>
      <w:r w:rsidR="001F1F8E" w:rsidRPr="00B611A1">
        <w:rPr>
          <w:rFonts w:asciiTheme="majorBidi" w:hAnsiTheme="majorBidi" w:cstheme="majorBidi"/>
          <w:sz w:val="24"/>
          <w:szCs w:val="24"/>
        </w:rPr>
        <w:t xml:space="preserve"> permet d’exercer le droit à la déduction de la TVA ayant grevé l’acquisition de </w:t>
      </w:r>
      <w:r w:rsidRPr="00B611A1">
        <w:rPr>
          <w:rFonts w:asciiTheme="majorBidi" w:hAnsiTheme="majorBidi" w:cstheme="majorBidi"/>
          <w:sz w:val="24"/>
          <w:szCs w:val="24"/>
        </w:rPr>
        <w:t>leurs équipements</w:t>
      </w:r>
      <w:r w:rsidR="001F1F8E" w:rsidRPr="00B611A1">
        <w:rPr>
          <w:rFonts w:asciiTheme="majorBidi" w:hAnsiTheme="majorBidi" w:cstheme="majorBidi"/>
          <w:sz w:val="24"/>
          <w:szCs w:val="24"/>
        </w:rPr>
        <w:t xml:space="preserve"> et leurs charges elle assure </w:t>
      </w:r>
      <w:r w:rsidR="001F1F8E" w:rsidRPr="00F96520">
        <w:rPr>
          <w:rFonts w:asciiTheme="majorBidi" w:hAnsiTheme="majorBidi" w:cstheme="majorBidi"/>
          <w:b/>
          <w:bCs/>
          <w:sz w:val="24"/>
          <w:szCs w:val="24"/>
        </w:rPr>
        <w:t>la neutralité de la taxe</w:t>
      </w:r>
      <w:r w:rsidR="001F1F8E" w:rsidRPr="00B611A1">
        <w:rPr>
          <w:rFonts w:asciiTheme="majorBidi" w:hAnsiTheme="majorBidi" w:cstheme="majorBidi"/>
          <w:sz w:val="24"/>
          <w:szCs w:val="24"/>
        </w:rPr>
        <w:t xml:space="preserve"> vis-à-vis du résultat de l’entreprise. </w:t>
      </w:r>
    </w:p>
    <w:p w:rsidR="001F1F8E" w:rsidRDefault="00B611A1" w:rsidP="00B611A1">
      <w:pPr>
        <w:ind w:left="-284" w:hanging="426"/>
        <w:jc w:val="both"/>
        <w:rPr>
          <w:rFonts w:asciiTheme="majorBidi" w:hAnsiTheme="majorBidi" w:cstheme="majorBidi"/>
          <w:sz w:val="24"/>
          <w:szCs w:val="24"/>
        </w:rPr>
      </w:pPr>
      <w:r>
        <w:rPr>
          <w:rFonts w:asciiTheme="majorBidi" w:hAnsiTheme="majorBidi" w:cstheme="majorBidi"/>
          <w:sz w:val="24"/>
          <w:szCs w:val="24"/>
        </w:rPr>
        <w:t xml:space="preserve">                 </w:t>
      </w:r>
      <w:r w:rsidRPr="00B611A1">
        <w:rPr>
          <w:rFonts w:asciiTheme="majorBidi" w:hAnsiTheme="majorBidi" w:cstheme="majorBidi"/>
          <w:sz w:val="24"/>
          <w:szCs w:val="24"/>
        </w:rPr>
        <w:t>Dans</w:t>
      </w:r>
      <w:r w:rsidR="001F1F8E" w:rsidRPr="00B611A1">
        <w:rPr>
          <w:rFonts w:asciiTheme="majorBidi" w:hAnsiTheme="majorBidi" w:cstheme="majorBidi"/>
          <w:sz w:val="24"/>
          <w:szCs w:val="24"/>
        </w:rPr>
        <w:t xml:space="preserve"> le cas des opérateurs exonérés avec droit à déduction (</w:t>
      </w:r>
      <w:r w:rsidRPr="00B611A1">
        <w:rPr>
          <w:rFonts w:asciiTheme="majorBidi" w:hAnsiTheme="majorBidi" w:cstheme="majorBidi"/>
          <w:sz w:val="24"/>
          <w:szCs w:val="24"/>
        </w:rPr>
        <w:t>commerçant</w:t>
      </w:r>
      <w:r>
        <w:rPr>
          <w:rFonts w:asciiTheme="majorBidi" w:hAnsiTheme="majorBidi" w:cstheme="majorBidi"/>
          <w:sz w:val="24"/>
          <w:szCs w:val="24"/>
        </w:rPr>
        <w:t xml:space="preserve"> exportateur</w:t>
      </w:r>
      <w:r w:rsidR="001F1F8E" w:rsidRPr="00B611A1">
        <w:rPr>
          <w:rFonts w:asciiTheme="majorBidi" w:hAnsiTheme="majorBidi" w:cstheme="majorBidi"/>
          <w:sz w:val="24"/>
          <w:szCs w:val="24"/>
        </w:rPr>
        <w:t xml:space="preserve">), l’imposition permet d’éviter l’accumulation des créances sur l’état en matière de l’augmentation du besoin de financement qui en résulte. </w:t>
      </w:r>
      <w:r w:rsidR="00A203CB" w:rsidRPr="00B611A1">
        <w:rPr>
          <w:rFonts w:asciiTheme="majorBidi" w:hAnsiTheme="majorBidi" w:cstheme="majorBidi"/>
          <w:sz w:val="24"/>
          <w:szCs w:val="24"/>
        </w:rPr>
        <w:t>Elle</w:t>
      </w:r>
      <w:r w:rsidR="001F1F8E" w:rsidRPr="00B611A1">
        <w:rPr>
          <w:rFonts w:asciiTheme="majorBidi" w:hAnsiTheme="majorBidi" w:cstheme="majorBidi"/>
          <w:sz w:val="24"/>
          <w:szCs w:val="24"/>
        </w:rPr>
        <w:t xml:space="preserve"> allège ainsi les tensions exercées sur la trésorerie de l’entreprise. </w:t>
      </w:r>
    </w:p>
    <w:p w:rsidR="00F96520" w:rsidRDefault="004E60DB" w:rsidP="00B611A1">
      <w:pPr>
        <w:ind w:left="-284" w:hanging="426"/>
        <w:jc w:val="both"/>
        <w:rPr>
          <w:rFonts w:asciiTheme="majorBidi" w:hAnsiTheme="majorBidi" w:cstheme="majorBidi"/>
          <w:sz w:val="24"/>
          <w:szCs w:val="24"/>
        </w:rPr>
      </w:pPr>
      <w:r>
        <w:rPr>
          <w:rFonts w:asciiTheme="majorBidi" w:hAnsiTheme="majorBidi" w:cstheme="majorBidi"/>
          <w:sz w:val="24"/>
          <w:szCs w:val="24"/>
        </w:rPr>
        <w:t>L’option</w:t>
      </w:r>
      <w:r w:rsidR="00F96520">
        <w:rPr>
          <w:rFonts w:asciiTheme="majorBidi" w:hAnsiTheme="majorBidi" w:cstheme="majorBidi"/>
          <w:sz w:val="24"/>
          <w:szCs w:val="24"/>
        </w:rPr>
        <w:t xml:space="preserve"> présente </w:t>
      </w:r>
      <w:r>
        <w:rPr>
          <w:rFonts w:asciiTheme="majorBidi" w:hAnsiTheme="majorBidi" w:cstheme="majorBidi"/>
          <w:sz w:val="24"/>
          <w:szCs w:val="24"/>
        </w:rPr>
        <w:t>néanmoins</w:t>
      </w:r>
      <w:r w:rsidR="00F96520">
        <w:rPr>
          <w:rFonts w:asciiTheme="majorBidi" w:hAnsiTheme="majorBidi" w:cstheme="majorBidi"/>
          <w:sz w:val="24"/>
          <w:szCs w:val="24"/>
        </w:rPr>
        <w:t xml:space="preserve"> certaines limites : </w:t>
      </w:r>
    </w:p>
    <w:p w:rsidR="00F96520" w:rsidRDefault="004E60DB" w:rsidP="00B611A1">
      <w:pPr>
        <w:ind w:left="-284" w:hanging="426"/>
        <w:jc w:val="both"/>
        <w:rPr>
          <w:rFonts w:asciiTheme="majorBidi" w:hAnsiTheme="majorBidi" w:cstheme="majorBidi"/>
          <w:sz w:val="24"/>
          <w:szCs w:val="24"/>
        </w:rPr>
      </w:pPr>
      <w:r>
        <w:rPr>
          <w:rFonts w:asciiTheme="majorBidi" w:hAnsiTheme="majorBidi" w:cstheme="majorBidi"/>
          <w:sz w:val="24"/>
          <w:szCs w:val="24"/>
        </w:rPr>
        <w:t>L’option</w:t>
      </w:r>
      <w:r w:rsidR="00F96520">
        <w:rPr>
          <w:rFonts w:asciiTheme="majorBidi" w:hAnsiTheme="majorBidi" w:cstheme="majorBidi"/>
          <w:sz w:val="24"/>
          <w:szCs w:val="24"/>
        </w:rPr>
        <w:t xml:space="preserve"> pour la TVA nécessite la tenue d’une comptabilité plus rigoureuse et l’établissement de nouvelles déclarations et expose l’entreprise à des </w:t>
      </w:r>
      <w:r>
        <w:rPr>
          <w:rFonts w:asciiTheme="majorBidi" w:hAnsiTheme="majorBidi" w:cstheme="majorBidi"/>
          <w:sz w:val="24"/>
          <w:szCs w:val="24"/>
        </w:rPr>
        <w:t>contrôles</w:t>
      </w:r>
      <w:r w:rsidR="00F96520">
        <w:rPr>
          <w:rFonts w:asciiTheme="majorBidi" w:hAnsiTheme="majorBidi" w:cstheme="majorBidi"/>
          <w:sz w:val="24"/>
          <w:szCs w:val="24"/>
        </w:rPr>
        <w:t xml:space="preserve"> fiscaux </w:t>
      </w:r>
    </w:p>
    <w:p w:rsidR="00F96520" w:rsidRDefault="00F96520" w:rsidP="00F96520">
      <w:pPr>
        <w:ind w:left="-284" w:hanging="426"/>
        <w:jc w:val="both"/>
        <w:rPr>
          <w:rFonts w:asciiTheme="majorBidi" w:hAnsiTheme="majorBidi" w:cstheme="majorBidi"/>
          <w:sz w:val="24"/>
          <w:szCs w:val="24"/>
        </w:rPr>
      </w:pPr>
      <w:r>
        <w:rPr>
          <w:rFonts w:asciiTheme="majorBidi" w:hAnsiTheme="majorBidi" w:cstheme="majorBidi"/>
          <w:sz w:val="24"/>
          <w:szCs w:val="24"/>
        </w:rPr>
        <w:t>l’option se traduit généralement par une augmentation des prix,</w:t>
      </w:r>
    </w:p>
    <w:p w:rsidR="00F96520" w:rsidRPr="00F96520" w:rsidRDefault="00F96520" w:rsidP="00F96520">
      <w:pPr>
        <w:jc w:val="center"/>
        <w:rPr>
          <w:rFonts w:asciiTheme="majorBidi" w:hAnsiTheme="majorBidi" w:cstheme="majorBidi"/>
          <w:b/>
          <w:bCs/>
          <w:sz w:val="24"/>
          <w:szCs w:val="24"/>
          <w:u w:val="single"/>
        </w:rPr>
      </w:pPr>
      <w:r w:rsidRPr="00F96520">
        <w:rPr>
          <w:rFonts w:asciiTheme="majorBidi" w:hAnsiTheme="majorBidi" w:cstheme="majorBidi"/>
          <w:b/>
          <w:bCs/>
          <w:sz w:val="24"/>
          <w:szCs w:val="24"/>
          <w:u w:val="single"/>
        </w:rPr>
        <w:t>Les nouvelles dispositions fiscales en matière de la TVA depuis 2018 au 2020</w:t>
      </w:r>
    </w:p>
    <w:p w:rsidR="00F96520" w:rsidRPr="00F96520" w:rsidRDefault="00F96520" w:rsidP="00F96520">
      <w:pPr>
        <w:pStyle w:val="Paragraphedeliste"/>
        <w:numPr>
          <w:ilvl w:val="0"/>
          <w:numId w:val="18"/>
        </w:numPr>
        <w:jc w:val="both"/>
        <w:rPr>
          <w:rFonts w:asciiTheme="majorBidi" w:hAnsiTheme="majorBidi" w:cstheme="majorBidi"/>
          <w:b/>
          <w:bCs/>
          <w:sz w:val="24"/>
          <w:szCs w:val="24"/>
        </w:rPr>
      </w:pPr>
      <w:r w:rsidRPr="00F96520">
        <w:rPr>
          <w:rFonts w:asciiTheme="majorBidi" w:hAnsiTheme="majorBidi" w:cstheme="majorBidi"/>
          <w:b/>
          <w:bCs/>
          <w:sz w:val="24"/>
          <w:szCs w:val="24"/>
        </w:rPr>
        <w:t xml:space="preserve">Les locations portant sur des locaux à usage professionnel non équipés </w:t>
      </w:r>
    </w:p>
    <w:p w:rsidR="00F96520" w:rsidRPr="00F96520" w:rsidRDefault="00F96520" w:rsidP="00F96520">
      <w:pPr>
        <w:ind w:left="-142"/>
        <w:jc w:val="both"/>
        <w:rPr>
          <w:rFonts w:asciiTheme="majorBidi" w:hAnsiTheme="majorBidi" w:cstheme="majorBidi"/>
          <w:sz w:val="24"/>
          <w:szCs w:val="24"/>
        </w:rPr>
      </w:pPr>
      <w:r w:rsidRPr="00F96520">
        <w:rPr>
          <w:rFonts w:asciiTheme="majorBidi" w:hAnsiTheme="majorBidi" w:cstheme="majorBidi"/>
          <w:sz w:val="24"/>
          <w:szCs w:val="24"/>
        </w:rPr>
        <w:lastRenderedPageBreak/>
        <w:t>En 2017 ces opérations sont devenues des opérations situées hors champ d’application de la TVA</w:t>
      </w:r>
    </w:p>
    <w:p w:rsidR="00F96520" w:rsidRPr="00F96520" w:rsidRDefault="00F96520" w:rsidP="00F96520">
      <w:pPr>
        <w:ind w:left="-142"/>
        <w:jc w:val="both"/>
        <w:rPr>
          <w:rFonts w:asciiTheme="majorBidi" w:hAnsiTheme="majorBidi" w:cstheme="majorBidi"/>
          <w:sz w:val="24"/>
          <w:szCs w:val="24"/>
        </w:rPr>
      </w:pPr>
      <w:r w:rsidRPr="00F96520">
        <w:rPr>
          <w:rFonts w:asciiTheme="majorBidi" w:hAnsiTheme="majorBidi" w:cstheme="majorBidi"/>
          <w:sz w:val="24"/>
          <w:szCs w:val="24"/>
        </w:rPr>
        <w:t>Cependant, A compter du 1er Janvier 2018 et en application des dispositions de l’article 90-4° du CGI, le droit d’option à l’assujettissement à la TVA est désormais accordé aux bailleurs qui donnent en location, des locaux à usage professionnel non équipés, si ces derniers souhaitent bénéficier de la déduction de la TVA ayant grevé le coût de construction des locaux mis en location.</w:t>
      </w:r>
    </w:p>
    <w:p w:rsidR="00F96520" w:rsidRPr="00F96520" w:rsidRDefault="00F96520" w:rsidP="00F96520">
      <w:pPr>
        <w:ind w:left="-142"/>
        <w:jc w:val="both"/>
        <w:rPr>
          <w:rFonts w:asciiTheme="majorBidi" w:hAnsiTheme="majorBidi" w:cstheme="majorBidi"/>
          <w:sz w:val="24"/>
          <w:szCs w:val="24"/>
        </w:rPr>
      </w:pPr>
      <w:r w:rsidRPr="00F96520">
        <w:rPr>
          <w:rFonts w:asciiTheme="majorBidi" w:hAnsiTheme="majorBidi" w:cstheme="majorBidi"/>
          <w:sz w:val="24"/>
          <w:szCs w:val="24"/>
        </w:rPr>
        <w:t xml:space="preserve">L’option peut porter sur un projet immobilier en entier ou se limiter uniquement à un seul immeuble ou même à quelques </w:t>
      </w:r>
      <w:proofErr w:type="spellStart"/>
      <w:r w:rsidRPr="00F96520">
        <w:rPr>
          <w:rFonts w:asciiTheme="majorBidi" w:hAnsiTheme="majorBidi" w:cstheme="majorBidi"/>
          <w:sz w:val="24"/>
          <w:szCs w:val="24"/>
        </w:rPr>
        <w:t>appartements</w:t>
      </w:r>
      <w:r w:rsidR="00526A42">
        <w:rPr>
          <w:rFonts w:asciiTheme="majorBidi" w:hAnsiTheme="majorBidi" w:cstheme="majorBidi"/>
          <w:sz w:val="24"/>
          <w:szCs w:val="24"/>
        </w:rPr>
        <w:t>è</w:t>
      </w:r>
      <w:proofErr w:type="spellEnd"/>
    </w:p>
    <w:p w:rsidR="00F96520" w:rsidRPr="00F96520" w:rsidRDefault="00F96520" w:rsidP="00F96520">
      <w:pPr>
        <w:pStyle w:val="Paragraphedeliste"/>
        <w:numPr>
          <w:ilvl w:val="0"/>
          <w:numId w:val="18"/>
        </w:numPr>
        <w:jc w:val="both"/>
        <w:rPr>
          <w:rFonts w:asciiTheme="majorBidi" w:hAnsiTheme="majorBidi" w:cstheme="majorBidi"/>
          <w:b/>
          <w:bCs/>
          <w:sz w:val="24"/>
          <w:szCs w:val="24"/>
        </w:rPr>
      </w:pPr>
      <w:r w:rsidRPr="00F96520">
        <w:rPr>
          <w:rFonts w:asciiTheme="majorBidi" w:hAnsiTheme="majorBidi" w:cstheme="majorBidi"/>
          <w:b/>
          <w:bCs/>
          <w:sz w:val="24"/>
          <w:szCs w:val="24"/>
        </w:rPr>
        <w:t>Exonérations de certaines activités d’importation par exemples :</w:t>
      </w:r>
    </w:p>
    <w:p w:rsidR="00F96520" w:rsidRPr="00F96520" w:rsidRDefault="00F96520" w:rsidP="00F96520">
      <w:pPr>
        <w:ind w:left="-284" w:hanging="426"/>
        <w:jc w:val="both"/>
        <w:rPr>
          <w:rFonts w:asciiTheme="majorBidi" w:hAnsiTheme="majorBidi" w:cstheme="majorBidi"/>
          <w:sz w:val="24"/>
          <w:szCs w:val="24"/>
        </w:rPr>
      </w:pPr>
      <w:r>
        <w:rPr>
          <w:rFonts w:asciiTheme="majorBidi" w:hAnsiTheme="majorBidi" w:cstheme="majorBidi"/>
          <w:sz w:val="24"/>
          <w:szCs w:val="24"/>
        </w:rPr>
        <w:t xml:space="preserve">        </w:t>
      </w:r>
      <w:r w:rsidRPr="00F96520">
        <w:rPr>
          <w:rFonts w:asciiTheme="majorBidi" w:hAnsiTheme="majorBidi" w:cstheme="majorBidi"/>
          <w:sz w:val="24"/>
          <w:szCs w:val="24"/>
        </w:rPr>
        <w:t>Les marchandises et produits reçus à titre de dons destinés à être distribués, à titre gratuit, à des nécessiteux ou à des sinistrés ;</w:t>
      </w:r>
    </w:p>
    <w:p w:rsidR="00F96520" w:rsidRDefault="00F96520" w:rsidP="00F96520">
      <w:pPr>
        <w:pStyle w:val="Paragraphedeliste"/>
        <w:numPr>
          <w:ilvl w:val="0"/>
          <w:numId w:val="18"/>
        </w:numPr>
        <w:jc w:val="both"/>
        <w:rPr>
          <w:rFonts w:asciiTheme="majorBidi" w:hAnsiTheme="majorBidi" w:cstheme="majorBidi"/>
          <w:b/>
          <w:bCs/>
          <w:sz w:val="24"/>
          <w:szCs w:val="24"/>
        </w:rPr>
      </w:pPr>
      <w:r w:rsidRPr="00F96520">
        <w:rPr>
          <w:rFonts w:asciiTheme="majorBidi" w:hAnsiTheme="majorBidi" w:cstheme="majorBidi"/>
          <w:b/>
          <w:bCs/>
          <w:sz w:val="24"/>
          <w:szCs w:val="24"/>
        </w:rPr>
        <w:t>Exonération de certaines institutions caritatives et sanitaires comme la fondation Mohammed v pour la solidarité,</w:t>
      </w:r>
    </w:p>
    <w:p w:rsidR="00F96520" w:rsidRPr="00F96520" w:rsidRDefault="00F96520" w:rsidP="00F96520">
      <w:pPr>
        <w:pStyle w:val="Paragraphedeliste"/>
        <w:numPr>
          <w:ilvl w:val="0"/>
          <w:numId w:val="18"/>
        </w:numPr>
        <w:jc w:val="both"/>
        <w:rPr>
          <w:rFonts w:asciiTheme="majorBidi" w:hAnsiTheme="majorBidi" w:cstheme="majorBidi"/>
          <w:b/>
          <w:bCs/>
          <w:sz w:val="24"/>
          <w:szCs w:val="24"/>
        </w:rPr>
      </w:pPr>
      <w:r w:rsidRPr="00F96520">
        <w:rPr>
          <w:rFonts w:asciiTheme="majorBidi" w:hAnsiTheme="majorBidi" w:cstheme="majorBidi"/>
          <w:sz w:val="24"/>
          <w:szCs w:val="24"/>
        </w:rPr>
        <w:t xml:space="preserve">Dans le but d’encourager le recours </w:t>
      </w:r>
      <w:r w:rsidRPr="00F96520">
        <w:rPr>
          <w:rFonts w:asciiTheme="majorBidi" w:hAnsiTheme="majorBidi" w:cstheme="majorBidi"/>
          <w:b/>
          <w:bCs/>
          <w:sz w:val="24"/>
          <w:szCs w:val="24"/>
        </w:rPr>
        <w:t>aux énergies renouvelables dans le secteur agricole, sont exonérées de la TVA, sans droit à déduction,</w:t>
      </w:r>
      <w:r w:rsidRPr="00F96520">
        <w:rPr>
          <w:rFonts w:asciiTheme="majorBidi" w:hAnsiTheme="majorBidi" w:cstheme="majorBidi"/>
          <w:sz w:val="24"/>
          <w:szCs w:val="24"/>
        </w:rPr>
        <w:t xml:space="preserve"> à compter du 1er janvier 2019, les pompes à eau fonctionnant à l’énergie solaire ou à toute autre énergie renouvelable utilisées dans le secteur agricole</w:t>
      </w:r>
    </w:p>
    <w:p w:rsidR="00F96520" w:rsidRPr="00F96520" w:rsidRDefault="00F96520" w:rsidP="00F96520">
      <w:pPr>
        <w:pStyle w:val="Paragraphedeliste"/>
        <w:numPr>
          <w:ilvl w:val="0"/>
          <w:numId w:val="18"/>
        </w:numPr>
        <w:jc w:val="both"/>
        <w:rPr>
          <w:rFonts w:asciiTheme="majorBidi" w:hAnsiTheme="majorBidi" w:cstheme="majorBidi"/>
          <w:sz w:val="24"/>
          <w:szCs w:val="24"/>
        </w:rPr>
      </w:pPr>
      <w:r w:rsidRPr="00F96520">
        <w:rPr>
          <w:rFonts w:asciiTheme="majorBidi" w:hAnsiTheme="majorBidi" w:cstheme="majorBidi"/>
          <w:sz w:val="24"/>
          <w:szCs w:val="24"/>
        </w:rPr>
        <w:t xml:space="preserve">Lors que </w:t>
      </w:r>
      <w:r w:rsidRPr="00F96520">
        <w:rPr>
          <w:rFonts w:asciiTheme="majorBidi" w:hAnsiTheme="majorBidi" w:cstheme="majorBidi"/>
          <w:b/>
          <w:bCs/>
          <w:sz w:val="24"/>
          <w:szCs w:val="24"/>
        </w:rPr>
        <w:t>les opérations effectuées à l’intérieur et entre les zones franches d’exportation</w:t>
      </w:r>
      <w:r w:rsidRPr="00F96520">
        <w:rPr>
          <w:rFonts w:asciiTheme="majorBidi" w:hAnsiTheme="majorBidi" w:cstheme="majorBidi"/>
          <w:sz w:val="24"/>
          <w:szCs w:val="24"/>
        </w:rPr>
        <w:t xml:space="preserve"> (ZFE) étaient considérées hors champ d’application de la TVA, le législateur a décidé de changer cette donne. Ces opérations ne sont plus désormais hors champs mais </w:t>
      </w:r>
      <w:r w:rsidRPr="00F96520">
        <w:rPr>
          <w:rFonts w:asciiTheme="majorBidi" w:hAnsiTheme="majorBidi" w:cstheme="majorBidi"/>
          <w:b/>
          <w:bCs/>
          <w:sz w:val="24"/>
          <w:szCs w:val="24"/>
        </w:rPr>
        <w:t>considérées comme opérations exonérées de la TVA avec droit à déduction.</w:t>
      </w:r>
      <w:r w:rsidRPr="00F96520">
        <w:rPr>
          <w:rFonts w:asciiTheme="majorBidi" w:hAnsiTheme="majorBidi" w:cstheme="majorBidi"/>
          <w:sz w:val="24"/>
          <w:szCs w:val="24"/>
        </w:rPr>
        <w:t xml:space="preserve"> Ces opérations sont assimilées à des exportations.</w:t>
      </w:r>
    </w:p>
    <w:p w:rsidR="00F96520" w:rsidRPr="00F96520" w:rsidRDefault="00F96520" w:rsidP="00F96520">
      <w:pPr>
        <w:jc w:val="both"/>
        <w:rPr>
          <w:rFonts w:asciiTheme="majorBidi" w:hAnsiTheme="majorBidi" w:cstheme="majorBidi"/>
          <w:b/>
          <w:bCs/>
          <w:sz w:val="24"/>
          <w:szCs w:val="24"/>
          <w:u w:val="single"/>
        </w:rPr>
      </w:pPr>
      <w:r w:rsidRPr="00F96520">
        <w:rPr>
          <w:rFonts w:asciiTheme="majorBidi" w:hAnsiTheme="majorBidi" w:cstheme="majorBidi"/>
          <w:b/>
          <w:bCs/>
          <w:sz w:val="24"/>
          <w:szCs w:val="24"/>
          <w:u w:val="single"/>
        </w:rPr>
        <w:t>Remarque :</w:t>
      </w:r>
    </w:p>
    <w:p w:rsidR="001E69B5" w:rsidRPr="00F96520" w:rsidRDefault="00D25290" w:rsidP="00F96520">
      <w:pPr>
        <w:pStyle w:val="Paragraphedeliste"/>
        <w:numPr>
          <w:ilvl w:val="0"/>
          <w:numId w:val="19"/>
        </w:numPr>
        <w:jc w:val="both"/>
        <w:rPr>
          <w:rFonts w:asciiTheme="majorBidi" w:hAnsiTheme="majorBidi" w:cstheme="majorBidi"/>
          <w:sz w:val="24"/>
          <w:szCs w:val="24"/>
        </w:rPr>
      </w:pPr>
      <w:r>
        <w:rPr>
          <w:rFonts w:asciiTheme="majorBidi" w:hAnsiTheme="majorBidi" w:cstheme="majorBidi"/>
          <w:sz w:val="24"/>
          <w:szCs w:val="24"/>
        </w:rPr>
        <w:t>L’option</w:t>
      </w:r>
      <w:r w:rsidR="00F96520">
        <w:rPr>
          <w:rFonts w:asciiTheme="majorBidi" w:hAnsiTheme="majorBidi" w:cstheme="majorBidi"/>
          <w:sz w:val="24"/>
          <w:szCs w:val="24"/>
        </w:rPr>
        <w:t xml:space="preserve"> peut </w:t>
      </w:r>
      <w:r>
        <w:rPr>
          <w:rFonts w:asciiTheme="majorBidi" w:hAnsiTheme="majorBidi" w:cstheme="majorBidi"/>
          <w:sz w:val="24"/>
          <w:szCs w:val="24"/>
        </w:rPr>
        <w:t>porter sur</w:t>
      </w:r>
      <w:r w:rsidR="00F96520">
        <w:rPr>
          <w:rFonts w:asciiTheme="majorBidi" w:hAnsiTheme="majorBidi" w:cstheme="majorBidi"/>
          <w:sz w:val="24"/>
          <w:szCs w:val="24"/>
        </w:rPr>
        <w:t xml:space="preserve"> tout ou partie des ventes ou des </w:t>
      </w:r>
      <w:r>
        <w:rPr>
          <w:rFonts w:asciiTheme="majorBidi" w:hAnsiTheme="majorBidi" w:cstheme="majorBidi"/>
          <w:sz w:val="24"/>
          <w:szCs w:val="24"/>
        </w:rPr>
        <w:t>prestations</w:t>
      </w:r>
      <w:r w:rsidR="00F96520">
        <w:rPr>
          <w:rFonts w:asciiTheme="majorBidi" w:hAnsiTheme="majorBidi" w:cstheme="majorBidi"/>
          <w:sz w:val="24"/>
          <w:szCs w:val="24"/>
        </w:rPr>
        <w:t xml:space="preserve">, elle est maintenue pour une période d’au moins 3 années consécutives. </w:t>
      </w:r>
    </w:p>
    <w:p w:rsidR="00F96520" w:rsidRDefault="00F96520" w:rsidP="00F96520">
      <w:pPr>
        <w:pStyle w:val="Paragraphedeliste"/>
        <w:numPr>
          <w:ilvl w:val="0"/>
          <w:numId w:val="19"/>
        </w:numPr>
        <w:jc w:val="both"/>
        <w:rPr>
          <w:rFonts w:asciiTheme="majorBidi" w:hAnsiTheme="majorBidi" w:cstheme="majorBidi"/>
          <w:sz w:val="24"/>
          <w:szCs w:val="24"/>
        </w:rPr>
      </w:pPr>
      <w:r w:rsidRPr="00F96520">
        <w:rPr>
          <w:rFonts w:asciiTheme="majorBidi" w:hAnsiTheme="majorBidi" w:cstheme="majorBidi"/>
          <w:sz w:val="24"/>
          <w:szCs w:val="24"/>
        </w:rPr>
        <w:t xml:space="preserve">La déduction de la TVA est liée à la présence d’une pièce justificative (facture…) sur laquelle le montant de la TVA est précisé </w:t>
      </w:r>
    </w:p>
    <w:p w:rsidR="00F96520" w:rsidRDefault="00F96520" w:rsidP="00F96520">
      <w:pPr>
        <w:pStyle w:val="Paragraphedeliste"/>
        <w:jc w:val="both"/>
        <w:rPr>
          <w:rFonts w:asciiTheme="majorBidi" w:hAnsiTheme="majorBidi" w:cstheme="majorBidi"/>
          <w:sz w:val="24"/>
          <w:szCs w:val="24"/>
        </w:rPr>
      </w:pPr>
    </w:p>
    <w:p w:rsidR="00F96520" w:rsidRDefault="00F96520" w:rsidP="00F96520">
      <w:pPr>
        <w:pStyle w:val="Paragraphedeliste"/>
        <w:jc w:val="center"/>
        <w:rPr>
          <w:rFonts w:asciiTheme="majorBidi" w:hAnsiTheme="majorBidi" w:cstheme="majorBidi"/>
          <w:b/>
          <w:bCs/>
          <w:sz w:val="32"/>
          <w:szCs w:val="32"/>
        </w:rPr>
      </w:pPr>
    </w:p>
    <w:p w:rsidR="00F96520" w:rsidRDefault="00F96520" w:rsidP="00F96520">
      <w:pPr>
        <w:pStyle w:val="Paragraphedeliste"/>
        <w:rPr>
          <w:rFonts w:asciiTheme="majorBidi" w:hAnsiTheme="majorBidi" w:cstheme="majorBidi"/>
          <w:b/>
          <w:bCs/>
          <w:sz w:val="32"/>
          <w:szCs w:val="32"/>
        </w:rPr>
      </w:pPr>
    </w:p>
    <w:p w:rsidR="00F96520" w:rsidRDefault="00F96520" w:rsidP="00F96520">
      <w:pPr>
        <w:pStyle w:val="Paragraphedeliste"/>
        <w:rPr>
          <w:rFonts w:asciiTheme="majorBidi" w:hAnsiTheme="majorBidi" w:cstheme="majorBidi"/>
          <w:b/>
          <w:bCs/>
          <w:sz w:val="32"/>
          <w:szCs w:val="32"/>
        </w:rPr>
      </w:pPr>
    </w:p>
    <w:p w:rsidR="00F96520" w:rsidRDefault="00F96520" w:rsidP="00F96520">
      <w:pPr>
        <w:pStyle w:val="Paragraphedeliste"/>
        <w:rPr>
          <w:rFonts w:asciiTheme="majorBidi" w:hAnsiTheme="majorBidi" w:cstheme="majorBidi"/>
          <w:b/>
          <w:bCs/>
          <w:sz w:val="32"/>
          <w:szCs w:val="32"/>
        </w:rPr>
      </w:pPr>
    </w:p>
    <w:p w:rsidR="00F96520" w:rsidRDefault="00F96520" w:rsidP="00F96520">
      <w:pPr>
        <w:pStyle w:val="Paragraphedeliste"/>
        <w:rPr>
          <w:rFonts w:asciiTheme="majorBidi" w:hAnsiTheme="majorBidi" w:cstheme="majorBidi"/>
          <w:b/>
          <w:bCs/>
          <w:sz w:val="32"/>
          <w:szCs w:val="32"/>
        </w:rPr>
      </w:pPr>
    </w:p>
    <w:p w:rsidR="00F96520" w:rsidRDefault="00F96520" w:rsidP="00F96520">
      <w:pPr>
        <w:pStyle w:val="Paragraphedeliste"/>
        <w:rPr>
          <w:rFonts w:asciiTheme="majorBidi" w:hAnsiTheme="majorBidi" w:cstheme="majorBidi"/>
          <w:b/>
          <w:bCs/>
          <w:sz w:val="32"/>
          <w:szCs w:val="32"/>
        </w:rPr>
      </w:pPr>
    </w:p>
    <w:p w:rsidR="00F96520" w:rsidRDefault="00F96520" w:rsidP="00F96520">
      <w:pPr>
        <w:pStyle w:val="Paragraphedeliste"/>
        <w:rPr>
          <w:rFonts w:asciiTheme="majorBidi" w:hAnsiTheme="majorBidi" w:cstheme="majorBidi"/>
          <w:b/>
          <w:bCs/>
          <w:sz w:val="32"/>
          <w:szCs w:val="32"/>
        </w:rPr>
      </w:pPr>
    </w:p>
    <w:p w:rsidR="00F96520" w:rsidRDefault="00F96520" w:rsidP="00F96520">
      <w:pPr>
        <w:pStyle w:val="Paragraphedeliste"/>
        <w:rPr>
          <w:rFonts w:asciiTheme="majorBidi" w:hAnsiTheme="majorBidi" w:cstheme="majorBidi"/>
          <w:b/>
          <w:bCs/>
          <w:sz w:val="32"/>
          <w:szCs w:val="32"/>
        </w:rPr>
      </w:pPr>
    </w:p>
    <w:p w:rsidR="00F96520" w:rsidRDefault="00F96520" w:rsidP="00F96520">
      <w:pPr>
        <w:pStyle w:val="Paragraphedeliste"/>
        <w:rPr>
          <w:rFonts w:asciiTheme="majorBidi" w:hAnsiTheme="majorBidi" w:cstheme="majorBidi"/>
          <w:b/>
          <w:bCs/>
          <w:sz w:val="32"/>
          <w:szCs w:val="32"/>
        </w:rPr>
      </w:pPr>
    </w:p>
    <w:p w:rsidR="00F96520" w:rsidRDefault="00F96520" w:rsidP="00F96520">
      <w:pPr>
        <w:pStyle w:val="Paragraphedeliste"/>
        <w:rPr>
          <w:rFonts w:asciiTheme="majorBidi" w:hAnsiTheme="majorBidi" w:cstheme="majorBidi"/>
          <w:b/>
          <w:bCs/>
          <w:sz w:val="32"/>
          <w:szCs w:val="32"/>
        </w:rPr>
      </w:pPr>
    </w:p>
    <w:p w:rsidR="00F96520" w:rsidRDefault="00F96520" w:rsidP="00F96520">
      <w:pPr>
        <w:pStyle w:val="Paragraphedeliste"/>
        <w:rPr>
          <w:rFonts w:asciiTheme="majorBidi" w:hAnsiTheme="majorBidi" w:cstheme="majorBidi"/>
          <w:b/>
          <w:bCs/>
          <w:sz w:val="32"/>
          <w:szCs w:val="32"/>
        </w:rPr>
      </w:pPr>
    </w:p>
    <w:p w:rsidR="00F96520" w:rsidRDefault="00F96520" w:rsidP="00F96520">
      <w:pPr>
        <w:pStyle w:val="Paragraphedeliste"/>
        <w:rPr>
          <w:rFonts w:asciiTheme="majorBidi" w:hAnsiTheme="majorBidi" w:cstheme="majorBidi"/>
          <w:b/>
          <w:bCs/>
          <w:sz w:val="32"/>
          <w:szCs w:val="32"/>
        </w:rPr>
      </w:pPr>
    </w:p>
    <w:p w:rsidR="00F96520" w:rsidRDefault="00F96520" w:rsidP="00F96520">
      <w:pPr>
        <w:pStyle w:val="Paragraphedeliste"/>
        <w:rPr>
          <w:rFonts w:asciiTheme="majorBidi" w:hAnsiTheme="majorBidi" w:cstheme="majorBidi"/>
          <w:b/>
          <w:bCs/>
          <w:sz w:val="32"/>
          <w:szCs w:val="32"/>
        </w:rPr>
      </w:pPr>
    </w:p>
    <w:p w:rsidR="00F96520" w:rsidRDefault="00F96520" w:rsidP="00F96520">
      <w:pPr>
        <w:jc w:val="both"/>
        <w:rPr>
          <w:rFonts w:asciiTheme="majorBidi" w:hAnsiTheme="majorBidi" w:cstheme="majorBidi"/>
          <w:b/>
          <w:bCs/>
          <w:sz w:val="28"/>
          <w:szCs w:val="28"/>
        </w:rPr>
      </w:pPr>
    </w:p>
    <w:p w:rsidR="00F96520" w:rsidRPr="00F96520" w:rsidRDefault="00F96520" w:rsidP="00F96520">
      <w:pPr>
        <w:jc w:val="both"/>
        <w:rPr>
          <w:rFonts w:asciiTheme="majorBidi" w:hAnsiTheme="majorBidi" w:cstheme="majorBidi"/>
          <w:b/>
          <w:bCs/>
          <w:sz w:val="28"/>
          <w:szCs w:val="28"/>
        </w:rPr>
      </w:pPr>
      <w:r w:rsidRPr="00F96520">
        <w:rPr>
          <w:rFonts w:asciiTheme="majorBidi" w:hAnsiTheme="majorBidi" w:cstheme="majorBidi"/>
          <w:b/>
          <w:bCs/>
          <w:sz w:val="28"/>
          <w:szCs w:val="28"/>
        </w:rPr>
        <w:t xml:space="preserve">Chapitre 2 : le calcul de la TVA exigible </w:t>
      </w:r>
    </w:p>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 xml:space="preserve">La TVA exigible s’entend de la dette de l’assujetti vis-à-vis du trésor public. C’est la TVA sur les ventes dite TVA facturée ou TVA collectée </w:t>
      </w:r>
    </w:p>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 xml:space="preserve">Le calcul de la TVA exigible passe par : </w:t>
      </w:r>
    </w:p>
    <w:p w:rsidR="00F96520" w:rsidRDefault="00F96520" w:rsidP="00F96520">
      <w:pPr>
        <w:pStyle w:val="Paragraphedeliste"/>
        <w:numPr>
          <w:ilvl w:val="0"/>
          <w:numId w:val="20"/>
        </w:numPr>
        <w:jc w:val="both"/>
        <w:rPr>
          <w:rFonts w:asciiTheme="majorBidi" w:hAnsiTheme="majorBidi" w:cstheme="majorBidi"/>
          <w:sz w:val="24"/>
          <w:szCs w:val="24"/>
        </w:rPr>
      </w:pPr>
      <w:r>
        <w:rPr>
          <w:rFonts w:asciiTheme="majorBidi" w:hAnsiTheme="majorBidi" w:cstheme="majorBidi"/>
          <w:sz w:val="24"/>
          <w:szCs w:val="24"/>
        </w:rPr>
        <w:t xml:space="preserve">La délimitation de la base imposable </w:t>
      </w:r>
    </w:p>
    <w:p w:rsidR="00F96520" w:rsidRDefault="00F96520" w:rsidP="00F96520">
      <w:pPr>
        <w:pStyle w:val="Paragraphedeliste"/>
        <w:numPr>
          <w:ilvl w:val="0"/>
          <w:numId w:val="20"/>
        </w:numPr>
        <w:jc w:val="both"/>
        <w:rPr>
          <w:rFonts w:asciiTheme="majorBidi" w:hAnsiTheme="majorBidi" w:cstheme="majorBidi"/>
          <w:sz w:val="24"/>
          <w:szCs w:val="24"/>
        </w:rPr>
      </w:pPr>
      <w:r>
        <w:rPr>
          <w:rFonts w:asciiTheme="majorBidi" w:hAnsiTheme="majorBidi" w:cstheme="majorBidi"/>
          <w:sz w:val="24"/>
          <w:szCs w:val="24"/>
        </w:rPr>
        <w:t>La détermination du taux applicable : quatre taux sont prévus par le CGI : un taux normal de 20% et des taux réduits (14%, 10%, 7%)</w:t>
      </w:r>
    </w:p>
    <w:p w:rsidR="00F96520" w:rsidRDefault="00F96520" w:rsidP="00F96520">
      <w:pPr>
        <w:pStyle w:val="Paragraphedeliste"/>
        <w:numPr>
          <w:ilvl w:val="0"/>
          <w:numId w:val="20"/>
        </w:numPr>
        <w:jc w:val="both"/>
        <w:rPr>
          <w:rFonts w:asciiTheme="majorBidi" w:hAnsiTheme="majorBidi" w:cstheme="majorBidi"/>
          <w:sz w:val="24"/>
          <w:szCs w:val="24"/>
        </w:rPr>
      </w:pPr>
      <w:r>
        <w:rPr>
          <w:rFonts w:asciiTheme="majorBidi" w:hAnsiTheme="majorBidi" w:cstheme="majorBidi"/>
          <w:sz w:val="24"/>
          <w:szCs w:val="24"/>
        </w:rPr>
        <w:t xml:space="preserve">La détermination du fait générateur </w:t>
      </w:r>
    </w:p>
    <w:p w:rsidR="00F96520" w:rsidRPr="00F96520" w:rsidRDefault="00F96520" w:rsidP="00F96520">
      <w:pPr>
        <w:pStyle w:val="Paragraphedeliste"/>
        <w:numPr>
          <w:ilvl w:val="0"/>
          <w:numId w:val="27"/>
        </w:numPr>
        <w:jc w:val="both"/>
        <w:rPr>
          <w:rFonts w:asciiTheme="majorBidi" w:hAnsiTheme="majorBidi" w:cstheme="majorBidi"/>
          <w:sz w:val="24"/>
          <w:szCs w:val="24"/>
        </w:rPr>
      </w:pPr>
      <w:r w:rsidRPr="00F96520">
        <w:rPr>
          <w:rFonts w:asciiTheme="majorBidi" w:hAnsiTheme="majorBidi" w:cstheme="majorBidi"/>
          <w:b/>
          <w:bCs/>
          <w:sz w:val="28"/>
          <w:szCs w:val="28"/>
        </w:rPr>
        <w:t>La base d’imposition de la TVA</w:t>
      </w:r>
    </w:p>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 xml:space="preserve">L’assiette de la TVA est constituée par l’ensemble des paiements que l’entreprise assujettie reçoit en contrepartie de l’opération imposable. </w:t>
      </w:r>
    </w:p>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 xml:space="preserve">La base imposable est constituée par le prix du produit vendu ou du service rendu, tous frais compris. Ainsi seront intégrés à cette base, outre le prix de la marchandise ou de la prestation : </w:t>
      </w:r>
    </w:p>
    <w:p w:rsidR="00F96520" w:rsidRPr="00F96520" w:rsidRDefault="00F96520" w:rsidP="00F96520">
      <w:pPr>
        <w:pStyle w:val="Paragraphedeliste"/>
        <w:numPr>
          <w:ilvl w:val="0"/>
          <w:numId w:val="22"/>
        </w:numPr>
        <w:jc w:val="both"/>
        <w:rPr>
          <w:rFonts w:asciiTheme="majorBidi" w:hAnsiTheme="majorBidi" w:cstheme="majorBidi"/>
          <w:b/>
          <w:bCs/>
          <w:sz w:val="24"/>
          <w:szCs w:val="24"/>
        </w:rPr>
      </w:pPr>
      <w:r w:rsidRPr="00F96520">
        <w:rPr>
          <w:rFonts w:asciiTheme="majorBidi" w:hAnsiTheme="majorBidi" w:cstheme="majorBidi"/>
          <w:sz w:val="24"/>
          <w:szCs w:val="24"/>
        </w:rPr>
        <w:t>Des frais de transport</w:t>
      </w:r>
      <w:r w:rsidRPr="00F96520">
        <w:rPr>
          <w:rFonts w:asciiTheme="majorBidi" w:hAnsiTheme="majorBidi" w:cstheme="majorBidi"/>
          <w:b/>
          <w:bCs/>
          <w:sz w:val="24"/>
          <w:szCs w:val="24"/>
        </w:rPr>
        <w:t> :</w:t>
      </w:r>
      <w:r w:rsidRPr="00F96520">
        <w:rPr>
          <w:rFonts w:asciiTheme="majorBidi" w:hAnsiTheme="majorBidi" w:cstheme="majorBidi"/>
          <w:sz w:val="24"/>
          <w:szCs w:val="24"/>
        </w:rPr>
        <w:t xml:space="preserve"> lorsque la vente est conclue « franco » ou lorsque s’agissant de vente départ, le transport est à la charge de l’acheteur </w:t>
      </w:r>
    </w:p>
    <w:p w:rsidR="00F96520" w:rsidRDefault="00F96520" w:rsidP="00F96520">
      <w:pPr>
        <w:pStyle w:val="Paragraphedeliste"/>
        <w:numPr>
          <w:ilvl w:val="0"/>
          <w:numId w:val="22"/>
        </w:numPr>
        <w:jc w:val="both"/>
        <w:rPr>
          <w:rFonts w:asciiTheme="majorBidi" w:hAnsiTheme="majorBidi" w:cstheme="majorBidi"/>
          <w:sz w:val="24"/>
          <w:szCs w:val="24"/>
        </w:rPr>
      </w:pPr>
      <w:r>
        <w:rPr>
          <w:rFonts w:asciiTheme="majorBidi" w:hAnsiTheme="majorBidi" w:cstheme="majorBidi"/>
          <w:sz w:val="24"/>
          <w:szCs w:val="24"/>
        </w:rPr>
        <w:t>Des frais d’emballage</w:t>
      </w:r>
    </w:p>
    <w:tbl>
      <w:tblPr>
        <w:tblStyle w:val="Grilledutableau"/>
        <w:tblW w:w="0" w:type="auto"/>
        <w:tblLook w:val="04A0" w:firstRow="1" w:lastRow="0" w:firstColumn="1" w:lastColumn="0" w:noHBand="0" w:noVBand="1"/>
      </w:tblPr>
      <w:tblGrid>
        <w:gridCol w:w="2434"/>
        <w:gridCol w:w="2434"/>
        <w:gridCol w:w="2434"/>
        <w:gridCol w:w="2434"/>
      </w:tblGrid>
      <w:tr w:rsidR="00F96520" w:rsidTr="00F96520">
        <w:tc>
          <w:tcPr>
            <w:tcW w:w="2434" w:type="dxa"/>
          </w:tcPr>
          <w:p w:rsidR="00F96520" w:rsidRDefault="00F96520" w:rsidP="00F96520">
            <w:pPr>
              <w:jc w:val="both"/>
              <w:rPr>
                <w:rFonts w:asciiTheme="majorBidi" w:hAnsiTheme="majorBidi" w:cstheme="majorBidi"/>
                <w:sz w:val="24"/>
                <w:szCs w:val="24"/>
              </w:rPr>
            </w:pPr>
          </w:p>
        </w:tc>
        <w:tc>
          <w:tcPr>
            <w:tcW w:w="2434" w:type="dxa"/>
          </w:tcPr>
          <w:p w:rsidR="00F96520" w:rsidRPr="00D25290" w:rsidRDefault="00F96520" w:rsidP="00F96520">
            <w:pPr>
              <w:jc w:val="both"/>
              <w:rPr>
                <w:rFonts w:asciiTheme="majorBidi" w:hAnsiTheme="majorBidi" w:cstheme="majorBidi"/>
                <w:b/>
                <w:bCs/>
                <w:sz w:val="24"/>
                <w:szCs w:val="24"/>
              </w:rPr>
            </w:pPr>
            <w:r w:rsidRPr="00D25290">
              <w:rPr>
                <w:rFonts w:asciiTheme="majorBidi" w:hAnsiTheme="majorBidi" w:cstheme="majorBidi"/>
                <w:b/>
                <w:bCs/>
                <w:sz w:val="24"/>
                <w:szCs w:val="24"/>
              </w:rPr>
              <w:t xml:space="preserve">Consignation et déconsignation </w:t>
            </w:r>
          </w:p>
        </w:tc>
        <w:tc>
          <w:tcPr>
            <w:tcW w:w="2434" w:type="dxa"/>
          </w:tcPr>
          <w:p w:rsidR="00F96520" w:rsidRPr="00D25290" w:rsidRDefault="00F96520" w:rsidP="00F96520">
            <w:pPr>
              <w:jc w:val="both"/>
              <w:rPr>
                <w:rFonts w:asciiTheme="majorBidi" w:hAnsiTheme="majorBidi" w:cstheme="majorBidi"/>
                <w:b/>
                <w:bCs/>
                <w:sz w:val="24"/>
                <w:szCs w:val="24"/>
              </w:rPr>
            </w:pPr>
            <w:r w:rsidRPr="00D25290">
              <w:rPr>
                <w:rFonts w:asciiTheme="majorBidi" w:hAnsiTheme="majorBidi" w:cstheme="majorBidi"/>
                <w:b/>
                <w:bCs/>
                <w:sz w:val="24"/>
                <w:szCs w:val="24"/>
              </w:rPr>
              <w:t>Déconsignation à un prix inférieur</w:t>
            </w:r>
          </w:p>
        </w:tc>
        <w:tc>
          <w:tcPr>
            <w:tcW w:w="2434" w:type="dxa"/>
          </w:tcPr>
          <w:p w:rsidR="00F96520" w:rsidRPr="00D25290" w:rsidRDefault="00F96520" w:rsidP="00F96520">
            <w:pPr>
              <w:jc w:val="both"/>
              <w:rPr>
                <w:rFonts w:asciiTheme="majorBidi" w:hAnsiTheme="majorBidi" w:cstheme="majorBidi"/>
                <w:b/>
                <w:bCs/>
                <w:sz w:val="24"/>
                <w:szCs w:val="24"/>
              </w:rPr>
            </w:pPr>
            <w:r w:rsidRPr="00D25290">
              <w:rPr>
                <w:rFonts w:asciiTheme="majorBidi" w:hAnsiTheme="majorBidi" w:cstheme="majorBidi"/>
                <w:b/>
                <w:bCs/>
                <w:sz w:val="24"/>
                <w:szCs w:val="24"/>
              </w:rPr>
              <w:t xml:space="preserve">Non restitution dans les délais </w:t>
            </w:r>
          </w:p>
        </w:tc>
      </w:tr>
      <w:tr w:rsidR="00F96520" w:rsidTr="00F96520">
        <w:tc>
          <w:tcPr>
            <w:tcW w:w="2434" w:type="dxa"/>
          </w:tcPr>
          <w:p w:rsidR="00F96520" w:rsidRPr="00D25290" w:rsidRDefault="00F96520" w:rsidP="00F96520">
            <w:pPr>
              <w:jc w:val="both"/>
              <w:rPr>
                <w:rFonts w:asciiTheme="majorBidi" w:hAnsiTheme="majorBidi" w:cstheme="majorBidi"/>
                <w:b/>
                <w:bCs/>
                <w:sz w:val="24"/>
                <w:szCs w:val="24"/>
              </w:rPr>
            </w:pPr>
            <w:r w:rsidRPr="00D25290">
              <w:rPr>
                <w:rFonts w:asciiTheme="majorBidi" w:hAnsiTheme="majorBidi" w:cstheme="majorBidi"/>
                <w:b/>
                <w:bCs/>
                <w:sz w:val="24"/>
                <w:szCs w:val="24"/>
              </w:rPr>
              <w:t xml:space="preserve">Emballages récupérables identifiables (immobilisés) </w:t>
            </w:r>
          </w:p>
        </w:tc>
        <w:tc>
          <w:tcPr>
            <w:tcW w:w="2434" w:type="dxa"/>
          </w:tcPr>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Non imposable à la TVA</w:t>
            </w:r>
          </w:p>
        </w:tc>
        <w:tc>
          <w:tcPr>
            <w:tcW w:w="2434" w:type="dxa"/>
          </w:tcPr>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 xml:space="preserve">Différence soumise à la TVA </w:t>
            </w:r>
          </w:p>
        </w:tc>
        <w:tc>
          <w:tcPr>
            <w:tcW w:w="2434" w:type="dxa"/>
          </w:tcPr>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Cession soumise à la TVA</w:t>
            </w:r>
          </w:p>
        </w:tc>
      </w:tr>
      <w:tr w:rsidR="00F96520" w:rsidTr="00F96520">
        <w:tc>
          <w:tcPr>
            <w:tcW w:w="2434" w:type="dxa"/>
          </w:tcPr>
          <w:p w:rsidR="00F96520" w:rsidRPr="00D25290" w:rsidRDefault="00F96520" w:rsidP="00F96520">
            <w:pPr>
              <w:jc w:val="both"/>
              <w:rPr>
                <w:rFonts w:asciiTheme="majorBidi" w:hAnsiTheme="majorBidi" w:cstheme="majorBidi"/>
                <w:b/>
                <w:bCs/>
                <w:sz w:val="24"/>
                <w:szCs w:val="24"/>
              </w:rPr>
            </w:pPr>
            <w:r w:rsidRPr="00D25290">
              <w:rPr>
                <w:rFonts w:asciiTheme="majorBidi" w:hAnsiTheme="majorBidi" w:cstheme="majorBidi"/>
                <w:b/>
                <w:bCs/>
                <w:sz w:val="24"/>
                <w:szCs w:val="24"/>
              </w:rPr>
              <w:t>Emballages récupérables non identifiables ( stocks )</w:t>
            </w:r>
          </w:p>
        </w:tc>
        <w:tc>
          <w:tcPr>
            <w:tcW w:w="2434" w:type="dxa"/>
          </w:tcPr>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Nom imposable à la TVA</w:t>
            </w:r>
          </w:p>
        </w:tc>
        <w:tc>
          <w:tcPr>
            <w:tcW w:w="2434" w:type="dxa"/>
          </w:tcPr>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 xml:space="preserve">Différence soumise à la TVA </w:t>
            </w:r>
          </w:p>
        </w:tc>
        <w:tc>
          <w:tcPr>
            <w:tcW w:w="2434" w:type="dxa"/>
          </w:tcPr>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 xml:space="preserve">Vente soumise à la TVA </w:t>
            </w:r>
          </w:p>
        </w:tc>
      </w:tr>
    </w:tbl>
    <w:p w:rsidR="00F96520" w:rsidRPr="00F96520" w:rsidRDefault="00F96520" w:rsidP="00F96520">
      <w:pPr>
        <w:jc w:val="both"/>
        <w:rPr>
          <w:rFonts w:asciiTheme="majorBidi" w:hAnsiTheme="majorBidi" w:cstheme="majorBidi"/>
          <w:sz w:val="24"/>
          <w:szCs w:val="24"/>
        </w:rPr>
      </w:pPr>
      <w:r w:rsidRPr="00F96520">
        <w:rPr>
          <w:rFonts w:asciiTheme="majorBidi" w:hAnsiTheme="majorBidi" w:cstheme="majorBidi"/>
          <w:sz w:val="24"/>
          <w:szCs w:val="24"/>
        </w:rPr>
        <w:t xml:space="preserve"> </w:t>
      </w:r>
    </w:p>
    <w:p w:rsidR="00F96520" w:rsidRDefault="00F96520" w:rsidP="00F96520">
      <w:pPr>
        <w:pStyle w:val="Paragraphedeliste"/>
        <w:numPr>
          <w:ilvl w:val="0"/>
          <w:numId w:val="22"/>
        </w:numPr>
        <w:jc w:val="both"/>
        <w:rPr>
          <w:rFonts w:asciiTheme="majorBidi" w:hAnsiTheme="majorBidi" w:cstheme="majorBidi"/>
          <w:sz w:val="24"/>
          <w:szCs w:val="24"/>
        </w:rPr>
      </w:pPr>
      <w:r>
        <w:rPr>
          <w:rFonts w:asciiTheme="majorBidi" w:hAnsiTheme="majorBidi" w:cstheme="majorBidi"/>
          <w:sz w:val="24"/>
          <w:szCs w:val="24"/>
        </w:rPr>
        <w:t xml:space="preserve">Les intérêts pour règlement à terme, lorsque le vendeur consent à l’acheteur des délais de règlement, moyennant rémunération </w:t>
      </w:r>
    </w:p>
    <w:p w:rsidR="00F96520" w:rsidRDefault="00F96520" w:rsidP="00F96520">
      <w:pPr>
        <w:pStyle w:val="Paragraphedeliste"/>
        <w:numPr>
          <w:ilvl w:val="0"/>
          <w:numId w:val="22"/>
        </w:numPr>
        <w:jc w:val="both"/>
        <w:rPr>
          <w:rFonts w:asciiTheme="majorBidi" w:hAnsiTheme="majorBidi" w:cstheme="majorBidi"/>
          <w:sz w:val="24"/>
          <w:szCs w:val="24"/>
        </w:rPr>
      </w:pPr>
      <w:r>
        <w:rPr>
          <w:rFonts w:asciiTheme="majorBidi" w:hAnsiTheme="majorBidi" w:cstheme="majorBidi"/>
          <w:sz w:val="24"/>
          <w:szCs w:val="24"/>
        </w:rPr>
        <w:t xml:space="preserve">Les droits et les taxes autres que la TVA : droit de douane, taxe spéciale, taxes intérieures de consommations… </w:t>
      </w:r>
    </w:p>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 xml:space="preserve">En revanche, ne font pas partie de la base imposable les rabais, remises, escomptes, ristournes et autres réductions viennent en diminution du chiffre d’affaires imposable. </w:t>
      </w:r>
    </w:p>
    <w:p w:rsidR="00F96520" w:rsidRDefault="00F96520" w:rsidP="00F96520">
      <w:pPr>
        <w:jc w:val="both"/>
        <w:rPr>
          <w:rFonts w:asciiTheme="majorBidi" w:hAnsiTheme="majorBidi" w:cstheme="majorBidi"/>
          <w:sz w:val="24"/>
          <w:szCs w:val="24"/>
        </w:rPr>
      </w:pPr>
      <w:r w:rsidRPr="00F96520">
        <w:rPr>
          <w:rFonts w:asciiTheme="majorBidi" w:hAnsiTheme="majorBidi" w:cstheme="majorBidi"/>
          <w:b/>
          <w:bCs/>
          <w:sz w:val="24"/>
          <w:szCs w:val="24"/>
        </w:rPr>
        <w:t>Remarque </w:t>
      </w:r>
      <w:r>
        <w:rPr>
          <w:rFonts w:asciiTheme="majorBidi" w:hAnsiTheme="majorBidi" w:cstheme="majorBidi"/>
          <w:sz w:val="24"/>
          <w:szCs w:val="24"/>
        </w:rPr>
        <w:t>: outre le chiffre d’affaires issu de la vente des biens ou services, constituant l’activité normale de l’entreprise, celle-ci sera soumise à la TVA au titre :</w:t>
      </w:r>
    </w:p>
    <w:p w:rsidR="00F96520" w:rsidRDefault="00F96520" w:rsidP="00F96520">
      <w:pPr>
        <w:pStyle w:val="Paragraphedeliste"/>
        <w:numPr>
          <w:ilvl w:val="0"/>
          <w:numId w:val="26"/>
        </w:numPr>
        <w:jc w:val="both"/>
        <w:rPr>
          <w:rFonts w:asciiTheme="majorBidi" w:hAnsiTheme="majorBidi" w:cstheme="majorBidi"/>
          <w:sz w:val="24"/>
          <w:szCs w:val="24"/>
        </w:rPr>
      </w:pPr>
      <w:r>
        <w:rPr>
          <w:rFonts w:asciiTheme="majorBidi" w:hAnsiTheme="majorBidi" w:cstheme="majorBidi"/>
          <w:sz w:val="24"/>
          <w:szCs w:val="24"/>
        </w:rPr>
        <w:t>Des recettes accessoires provenant, par exemple, de la vente de déchets neufs ou d’emballages non restituables au fournisseur</w:t>
      </w:r>
    </w:p>
    <w:p w:rsidR="00F96520" w:rsidRDefault="00F96520" w:rsidP="00F96520">
      <w:pPr>
        <w:pStyle w:val="Paragraphedeliste"/>
        <w:numPr>
          <w:ilvl w:val="0"/>
          <w:numId w:val="26"/>
        </w:numPr>
        <w:jc w:val="both"/>
        <w:rPr>
          <w:rFonts w:asciiTheme="majorBidi" w:hAnsiTheme="majorBidi" w:cstheme="majorBidi"/>
          <w:sz w:val="24"/>
          <w:szCs w:val="24"/>
        </w:rPr>
      </w:pPr>
      <w:r>
        <w:rPr>
          <w:rFonts w:asciiTheme="majorBidi" w:hAnsiTheme="majorBidi" w:cstheme="majorBidi"/>
          <w:sz w:val="24"/>
          <w:szCs w:val="24"/>
        </w:rPr>
        <w:lastRenderedPageBreak/>
        <w:t xml:space="preserve">Des subventions ayant pour but d’équilibrer les opérations d’exploitation </w:t>
      </w:r>
    </w:p>
    <w:p w:rsidR="00F96520" w:rsidRDefault="00F96520" w:rsidP="00F96520">
      <w:pPr>
        <w:pStyle w:val="Paragraphedeliste"/>
        <w:numPr>
          <w:ilvl w:val="0"/>
          <w:numId w:val="26"/>
        </w:numPr>
        <w:jc w:val="both"/>
        <w:rPr>
          <w:rFonts w:asciiTheme="majorBidi" w:hAnsiTheme="majorBidi" w:cstheme="majorBidi"/>
          <w:sz w:val="24"/>
          <w:szCs w:val="24"/>
        </w:rPr>
      </w:pPr>
      <w:r>
        <w:rPr>
          <w:rFonts w:asciiTheme="majorBidi" w:hAnsiTheme="majorBidi" w:cstheme="majorBidi"/>
          <w:sz w:val="24"/>
          <w:szCs w:val="24"/>
        </w:rPr>
        <w:t xml:space="preserve">Des produits financiers tels que les intérêts sur dépôt en compte courant ou compte bloqué </w:t>
      </w:r>
    </w:p>
    <w:p w:rsidR="00F96520" w:rsidRDefault="00F96520" w:rsidP="00F96520">
      <w:pPr>
        <w:pStyle w:val="Paragraphedeliste"/>
        <w:jc w:val="both"/>
        <w:rPr>
          <w:rFonts w:asciiTheme="majorBidi" w:hAnsiTheme="majorBidi" w:cstheme="majorBidi"/>
          <w:sz w:val="24"/>
          <w:szCs w:val="24"/>
        </w:rPr>
      </w:pPr>
    </w:p>
    <w:p w:rsidR="00F96520" w:rsidRDefault="00F96520" w:rsidP="00F96520">
      <w:pPr>
        <w:pStyle w:val="Paragraphedeliste"/>
        <w:jc w:val="both"/>
        <w:rPr>
          <w:rFonts w:asciiTheme="majorBidi" w:hAnsiTheme="majorBidi" w:cstheme="majorBidi"/>
          <w:sz w:val="24"/>
          <w:szCs w:val="24"/>
        </w:rPr>
      </w:pPr>
    </w:p>
    <w:p w:rsidR="00F96520" w:rsidRPr="00F96520" w:rsidRDefault="00F96520" w:rsidP="00F96520">
      <w:pPr>
        <w:pStyle w:val="Paragraphedeliste"/>
        <w:numPr>
          <w:ilvl w:val="4"/>
          <w:numId w:val="14"/>
        </w:numPr>
        <w:ind w:left="426"/>
        <w:jc w:val="both"/>
        <w:rPr>
          <w:rFonts w:asciiTheme="majorBidi" w:hAnsiTheme="majorBidi" w:cstheme="majorBidi"/>
          <w:b/>
          <w:bCs/>
          <w:sz w:val="24"/>
          <w:szCs w:val="24"/>
        </w:rPr>
      </w:pPr>
      <w:r w:rsidRPr="00F96520">
        <w:rPr>
          <w:rFonts w:asciiTheme="majorBidi" w:hAnsiTheme="majorBidi" w:cstheme="majorBidi"/>
          <w:b/>
          <w:bCs/>
          <w:sz w:val="24"/>
          <w:szCs w:val="24"/>
        </w:rPr>
        <w:t xml:space="preserve">Les taux de la TVA </w:t>
      </w:r>
    </w:p>
    <w:p w:rsidR="00F96520" w:rsidRDefault="00F96520" w:rsidP="00F96520">
      <w:pPr>
        <w:pStyle w:val="Paragraphedeliste"/>
        <w:numPr>
          <w:ilvl w:val="0"/>
          <w:numId w:val="29"/>
        </w:numPr>
        <w:jc w:val="both"/>
        <w:rPr>
          <w:rFonts w:asciiTheme="majorBidi" w:hAnsiTheme="majorBidi" w:cstheme="majorBidi"/>
          <w:sz w:val="24"/>
          <w:szCs w:val="24"/>
          <w:u w:val="single"/>
        </w:rPr>
      </w:pPr>
      <w:r w:rsidRPr="00F96520">
        <w:rPr>
          <w:rFonts w:asciiTheme="majorBidi" w:hAnsiTheme="majorBidi" w:cstheme="majorBidi"/>
          <w:sz w:val="24"/>
          <w:szCs w:val="24"/>
          <w:u w:val="single"/>
        </w:rPr>
        <w:t xml:space="preserve">Taux normal </w:t>
      </w:r>
      <w:r>
        <w:rPr>
          <w:rFonts w:asciiTheme="majorBidi" w:hAnsiTheme="majorBidi" w:cstheme="majorBidi"/>
          <w:sz w:val="24"/>
          <w:szCs w:val="24"/>
          <w:u w:val="single"/>
        </w:rPr>
        <w:t>de 20%</w:t>
      </w:r>
    </w:p>
    <w:p w:rsidR="00F96520" w:rsidRDefault="00F96520" w:rsidP="00F96520">
      <w:pPr>
        <w:jc w:val="both"/>
        <w:rPr>
          <w:rFonts w:asciiTheme="majorBidi" w:hAnsiTheme="majorBidi" w:cstheme="majorBidi"/>
          <w:sz w:val="24"/>
          <w:szCs w:val="24"/>
        </w:rPr>
      </w:pPr>
      <w:r w:rsidRPr="00F96520">
        <w:rPr>
          <w:rFonts w:asciiTheme="majorBidi" w:hAnsiTheme="majorBidi" w:cstheme="majorBidi"/>
          <w:sz w:val="24"/>
          <w:szCs w:val="24"/>
        </w:rPr>
        <w:t>Appliqué à tous les biens et services non expressément soumis aux autres taux</w:t>
      </w:r>
    </w:p>
    <w:p w:rsidR="00F96520" w:rsidRPr="00F96520" w:rsidRDefault="00F96520" w:rsidP="00F96520">
      <w:pPr>
        <w:pStyle w:val="Paragraphedeliste"/>
        <w:numPr>
          <w:ilvl w:val="0"/>
          <w:numId w:val="29"/>
        </w:numPr>
        <w:jc w:val="both"/>
        <w:rPr>
          <w:rFonts w:asciiTheme="majorBidi" w:hAnsiTheme="majorBidi" w:cstheme="majorBidi"/>
          <w:sz w:val="24"/>
          <w:szCs w:val="24"/>
          <w:u w:val="single"/>
        </w:rPr>
      </w:pPr>
      <w:r w:rsidRPr="00F96520">
        <w:rPr>
          <w:rFonts w:asciiTheme="majorBidi" w:hAnsiTheme="majorBidi" w:cstheme="majorBidi"/>
          <w:sz w:val="24"/>
          <w:szCs w:val="24"/>
          <w:u w:val="single"/>
        </w:rPr>
        <w:t xml:space="preserve">Les taux réduits </w:t>
      </w:r>
    </w:p>
    <w:p w:rsidR="00F96520" w:rsidRPr="00F96520" w:rsidRDefault="00F96520" w:rsidP="00F96520">
      <w:pPr>
        <w:jc w:val="both"/>
        <w:rPr>
          <w:rFonts w:asciiTheme="majorBidi" w:hAnsiTheme="majorBidi" w:cstheme="majorBidi"/>
          <w:sz w:val="24"/>
          <w:szCs w:val="24"/>
        </w:rPr>
      </w:pPr>
      <w:r>
        <w:rPr>
          <w:rFonts w:asciiTheme="majorBidi" w:hAnsiTheme="majorBidi" w:cstheme="majorBidi"/>
          <w:sz w:val="24"/>
          <w:szCs w:val="24"/>
        </w:rPr>
        <w:t>Ils sont au nombre de trois 7%,10% et 14%</w:t>
      </w:r>
      <w:r w:rsidRPr="00F96520">
        <w:rPr>
          <w:rFonts w:asciiTheme="majorBidi" w:hAnsiTheme="majorBidi" w:cstheme="majorBidi"/>
          <w:sz w:val="24"/>
          <w:szCs w:val="24"/>
        </w:rPr>
        <w:t xml:space="preserve"> </w:t>
      </w:r>
    </w:p>
    <w:p w:rsidR="00F96520" w:rsidRDefault="00F96520" w:rsidP="00F96520">
      <w:pPr>
        <w:pStyle w:val="Paragraphedeliste"/>
        <w:numPr>
          <w:ilvl w:val="0"/>
          <w:numId w:val="30"/>
        </w:numPr>
        <w:jc w:val="both"/>
        <w:rPr>
          <w:rFonts w:asciiTheme="majorBidi" w:hAnsiTheme="majorBidi" w:cstheme="majorBidi"/>
          <w:b/>
          <w:bCs/>
          <w:sz w:val="24"/>
          <w:szCs w:val="24"/>
        </w:rPr>
      </w:pPr>
      <w:r w:rsidRPr="00F96520">
        <w:rPr>
          <w:rFonts w:asciiTheme="majorBidi" w:hAnsiTheme="majorBidi" w:cstheme="majorBidi"/>
          <w:b/>
          <w:bCs/>
          <w:sz w:val="24"/>
          <w:szCs w:val="24"/>
        </w:rPr>
        <w:t xml:space="preserve">Le taux de 7% </w:t>
      </w:r>
    </w:p>
    <w:p w:rsidR="00F96520" w:rsidRPr="00F96520" w:rsidRDefault="00F96520" w:rsidP="00F96520">
      <w:pPr>
        <w:jc w:val="both"/>
        <w:rPr>
          <w:rFonts w:asciiTheme="majorBidi" w:hAnsiTheme="majorBidi" w:cstheme="majorBidi"/>
          <w:sz w:val="24"/>
          <w:szCs w:val="24"/>
        </w:rPr>
      </w:pPr>
      <w:r w:rsidRPr="00F96520">
        <w:rPr>
          <w:rFonts w:asciiTheme="majorBidi" w:hAnsiTheme="majorBidi" w:cstheme="majorBidi"/>
          <w:sz w:val="24"/>
          <w:szCs w:val="24"/>
        </w:rPr>
        <w:t xml:space="preserve">Concerne les produits et les services suivants : </w:t>
      </w:r>
    </w:p>
    <w:p w:rsidR="00F96520" w:rsidRPr="00F96520" w:rsidRDefault="00F96520" w:rsidP="00F96520">
      <w:pPr>
        <w:pStyle w:val="Paragraphedeliste"/>
        <w:numPr>
          <w:ilvl w:val="0"/>
          <w:numId w:val="6"/>
        </w:numPr>
        <w:jc w:val="both"/>
        <w:rPr>
          <w:rFonts w:asciiTheme="majorBidi" w:hAnsiTheme="majorBidi" w:cstheme="majorBidi"/>
          <w:sz w:val="24"/>
          <w:szCs w:val="24"/>
        </w:rPr>
      </w:pPr>
      <w:r w:rsidRPr="00F96520">
        <w:rPr>
          <w:rFonts w:asciiTheme="majorBidi" w:hAnsiTheme="majorBidi" w:cstheme="majorBidi"/>
          <w:sz w:val="24"/>
          <w:szCs w:val="24"/>
        </w:rPr>
        <w:t xml:space="preserve">L’eau </w:t>
      </w:r>
    </w:p>
    <w:p w:rsidR="00F96520" w:rsidRPr="00F96520" w:rsidRDefault="00F96520" w:rsidP="00F96520">
      <w:pPr>
        <w:pStyle w:val="Paragraphedeliste"/>
        <w:numPr>
          <w:ilvl w:val="0"/>
          <w:numId w:val="6"/>
        </w:numPr>
        <w:jc w:val="both"/>
        <w:rPr>
          <w:rFonts w:asciiTheme="majorBidi" w:hAnsiTheme="majorBidi" w:cstheme="majorBidi"/>
          <w:sz w:val="24"/>
          <w:szCs w:val="24"/>
        </w:rPr>
      </w:pPr>
      <w:r w:rsidRPr="00F96520">
        <w:rPr>
          <w:rFonts w:asciiTheme="majorBidi" w:hAnsiTheme="majorBidi" w:cstheme="majorBidi"/>
          <w:sz w:val="24"/>
          <w:szCs w:val="24"/>
        </w:rPr>
        <w:t xml:space="preserve">La location des compteurs d’eau et d’électricité </w:t>
      </w:r>
    </w:p>
    <w:p w:rsidR="00F96520" w:rsidRPr="00F96520" w:rsidRDefault="00F96520" w:rsidP="00F96520">
      <w:pPr>
        <w:pStyle w:val="Paragraphedeliste"/>
        <w:numPr>
          <w:ilvl w:val="0"/>
          <w:numId w:val="6"/>
        </w:numPr>
        <w:jc w:val="both"/>
        <w:rPr>
          <w:rFonts w:asciiTheme="majorBidi" w:hAnsiTheme="majorBidi" w:cstheme="majorBidi"/>
          <w:sz w:val="24"/>
          <w:szCs w:val="24"/>
        </w:rPr>
      </w:pPr>
      <w:r w:rsidRPr="00F96520">
        <w:rPr>
          <w:rFonts w:asciiTheme="majorBidi" w:hAnsiTheme="majorBidi" w:cstheme="majorBidi"/>
          <w:sz w:val="24"/>
          <w:szCs w:val="24"/>
        </w:rPr>
        <w:t xml:space="preserve">Les produits pharmaceutiques </w:t>
      </w:r>
    </w:p>
    <w:p w:rsidR="00F96520" w:rsidRPr="00F96520" w:rsidRDefault="00F96520" w:rsidP="00F96520">
      <w:pPr>
        <w:pStyle w:val="Paragraphedeliste"/>
        <w:numPr>
          <w:ilvl w:val="0"/>
          <w:numId w:val="6"/>
        </w:numPr>
        <w:jc w:val="both"/>
        <w:rPr>
          <w:rFonts w:asciiTheme="majorBidi" w:hAnsiTheme="majorBidi" w:cstheme="majorBidi"/>
          <w:sz w:val="24"/>
          <w:szCs w:val="24"/>
        </w:rPr>
      </w:pPr>
      <w:r w:rsidRPr="00F96520">
        <w:rPr>
          <w:rFonts w:asciiTheme="majorBidi" w:hAnsiTheme="majorBidi" w:cstheme="majorBidi"/>
          <w:sz w:val="24"/>
          <w:szCs w:val="24"/>
        </w:rPr>
        <w:t xml:space="preserve">Les fournitures scolaires et certains produits alimentaires </w:t>
      </w:r>
    </w:p>
    <w:p w:rsidR="00F96520" w:rsidRDefault="00F96520" w:rsidP="00F96520">
      <w:pPr>
        <w:pStyle w:val="Paragraphedeliste"/>
        <w:numPr>
          <w:ilvl w:val="0"/>
          <w:numId w:val="6"/>
        </w:numPr>
        <w:jc w:val="both"/>
        <w:rPr>
          <w:rFonts w:asciiTheme="majorBidi" w:hAnsiTheme="majorBidi" w:cstheme="majorBidi"/>
          <w:sz w:val="24"/>
          <w:szCs w:val="24"/>
        </w:rPr>
      </w:pPr>
      <w:r w:rsidRPr="00F96520">
        <w:rPr>
          <w:rFonts w:asciiTheme="majorBidi" w:hAnsiTheme="majorBidi" w:cstheme="majorBidi"/>
          <w:sz w:val="24"/>
          <w:szCs w:val="24"/>
        </w:rPr>
        <w:t>La voiture automobile dite « voiture économique » et tous les produits et matières entrant dans sa fabrication ainsi que les prestations liées à son montage</w:t>
      </w:r>
    </w:p>
    <w:p w:rsidR="00F96520" w:rsidRPr="00F96520" w:rsidRDefault="00F96520" w:rsidP="00F96520">
      <w:pPr>
        <w:pStyle w:val="Paragraphedeliste"/>
        <w:numPr>
          <w:ilvl w:val="0"/>
          <w:numId w:val="30"/>
        </w:numPr>
        <w:jc w:val="both"/>
        <w:rPr>
          <w:rFonts w:asciiTheme="majorBidi" w:hAnsiTheme="majorBidi" w:cstheme="majorBidi"/>
          <w:b/>
          <w:bCs/>
          <w:sz w:val="24"/>
          <w:szCs w:val="24"/>
        </w:rPr>
      </w:pPr>
      <w:r w:rsidRPr="00F96520">
        <w:rPr>
          <w:rFonts w:asciiTheme="majorBidi" w:hAnsiTheme="majorBidi" w:cstheme="majorBidi"/>
          <w:b/>
          <w:bCs/>
          <w:sz w:val="24"/>
          <w:szCs w:val="24"/>
        </w:rPr>
        <w:t xml:space="preserve">Le taux de 14% </w:t>
      </w:r>
    </w:p>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On distingue le</w:t>
      </w:r>
      <w:r w:rsidRPr="00F96520">
        <w:rPr>
          <w:rFonts w:asciiTheme="majorBidi" w:hAnsiTheme="majorBidi" w:cstheme="majorBidi"/>
          <w:sz w:val="24"/>
          <w:szCs w:val="24"/>
        </w:rPr>
        <w:t xml:space="preserve"> </w:t>
      </w:r>
      <w:r>
        <w:rPr>
          <w:rFonts w:asciiTheme="majorBidi" w:hAnsiTheme="majorBidi" w:cstheme="majorBidi"/>
          <w:sz w:val="24"/>
          <w:szCs w:val="24"/>
        </w:rPr>
        <w:t xml:space="preserve">taux de 14% avec droit à déduction et celui sans droit à déduction </w:t>
      </w:r>
    </w:p>
    <w:p w:rsidR="00F96520" w:rsidRDefault="00F96520" w:rsidP="00F96520">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 xml:space="preserve">Taux réduit de 14% avec droit à déduction concerne </w:t>
      </w:r>
    </w:p>
    <w:p w:rsidR="00F96520" w:rsidRDefault="00F96520" w:rsidP="00F96520">
      <w:pPr>
        <w:pStyle w:val="Paragraphedeliste"/>
        <w:numPr>
          <w:ilvl w:val="0"/>
          <w:numId w:val="31"/>
        </w:numPr>
        <w:ind w:left="142"/>
        <w:jc w:val="both"/>
        <w:rPr>
          <w:rFonts w:asciiTheme="majorBidi" w:hAnsiTheme="majorBidi" w:cstheme="majorBidi"/>
          <w:sz w:val="24"/>
          <w:szCs w:val="24"/>
        </w:rPr>
      </w:pPr>
      <w:r>
        <w:rPr>
          <w:rFonts w:asciiTheme="majorBidi" w:hAnsiTheme="majorBidi" w:cstheme="majorBidi"/>
          <w:sz w:val="24"/>
          <w:szCs w:val="24"/>
        </w:rPr>
        <w:t xml:space="preserve">Les opérations de transport de voyageurs et de marchandises, exception faite du transport ferroviaire soumis au taux de 20% </w:t>
      </w:r>
    </w:p>
    <w:p w:rsidR="00F96520" w:rsidRDefault="00F96520" w:rsidP="00F96520">
      <w:pPr>
        <w:pStyle w:val="Paragraphedeliste"/>
        <w:numPr>
          <w:ilvl w:val="0"/>
          <w:numId w:val="31"/>
        </w:numPr>
        <w:ind w:left="142"/>
        <w:jc w:val="both"/>
        <w:rPr>
          <w:rFonts w:asciiTheme="majorBidi" w:hAnsiTheme="majorBidi" w:cstheme="majorBidi"/>
          <w:sz w:val="24"/>
          <w:szCs w:val="24"/>
        </w:rPr>
      </w:pPr>
      <w:r>
        <w:rPr>
          <w:rFonts w:asciiTheme="majorBidi" w:hAnsiTheme="majorBidi" w:cstheme="majorBidi"/>
          <w:sz w:val="24"/>
          <w:szCs w:val="24"/>
        </w:rPr>
        <w:t xml:space="preserve">Le beurre </w:t>
      </w:r>
    </w:p>
    <w:p w:rsidR="00F96520" w:rsidRDefault="00F96520" w:rsidP="00F96520">
      <w:pPr>
        <w:pStyle w:val="Paragraphedeliste"/>
        <w:numPr>
          <w:ilvl w:val="0"/>
          <w:numId w:val="31"/>
        </w:numPr>
        <w:ind w:left="142"/>
        <w:jc w:val="both"/>
        <w:rPr>
          <w:rFonts w:asciiTheme="majorBidi" w:hAnsiTheme="majorBidi" w:cstheme="majorBidi"/>
          <w:sz w:val="24"/>
          <w:szCs w:val="24"/>
        </w:rPr>
      </w:pPr>
      <w:r>
        <w:rPr>
          <w:rFonts w:asciiTheme="majorBidi" w:hAnsiTheme="majorBidi" w:cstheme="majorBidi"/>
          <w:sz w:val="24"/>
          <w:szCs w:val="24"/>
        </w:rPr>
        <w:t xml:space="preserve">L’énergie électrique </w:t>
      </w:r>
    </w:p>
    <w:p w:rsidR="00F96520" w:rsidRDefault="00F96520" w:rsidP="00F96520">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 xml:space="preserve">Taux réduit de 14% sans droit de déduction s’applique aux prestations de services fournies par les agents d’assurance </w:t>
      </w:r>
    </w:p>
    <w:p w:rsidR="00F96520" w:rsidRPr="00F96520" w:rsidRDefault="00F96520" w:rsidP="00F96520">
      <w:pPr>
        <w:pStyle w:val="Paragraphedeliste"/>
        <w:numPr>
          <w:ilvl w:val="0"/>
          <w:numId w:val="30"/>
        </w:numPr>
        <w:jc w:val="both"/>
        <w:rPr>
          <w:rFonts w:asciiTheme="majorBidi" w:hAnsiTheme="majorBidi" w:cstheme="majorBidi"/>
          <w:b/>
          <w:bCs/>
          <w:sz w:val="24"/>
          <w:szCs w:val="24"/>
        </w:rPr>
      </w:pPr>
      <w:r w:rsidRPr="00F96520">
        <w:rPr>
          <w:rFonts w:asciiTheme="majorBidi" w:hAnsiTheme="majorBidi" w:cstheme="majorBidi"/>
          <w:b/>
          <w:bCs/>
          <w:sz w:val="24"/>
          <w:szCs w:val="24"/>
        </w:rPr>
        <w:t xml:space="preserve">Le taux de 10% </w:t>
      </w:r>
    </w:p>
    <w:p w:rsidR="00F96520" w:rsidRDefault="00F96520" w:rsidP="00F96520">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 xml:space="preserve">Les opérations de restauration </w:t>
      </w:r>
    </w:p>
    <w:p w:rsidR="00F96520" w:rsidRDefault="00F96520" w:rsidP="00F96520">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 xml:space="preserve">L’hôtellerie </w:t>
      </w:r>
    </w:p>
    <w:p w:rsidR="00F96520" w:rsidRDefault="00F96520" w:rsidP="00F96520">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 xml:space="preserve">Certains produits alimentaires (les huiles fluides, le sel, les pâtes, le riz…) </w:t>
      </w:r>
    </w:p>
    <w:p w:rsidR="00F96520" w:rsidRDefault="00F96520" w:rsidP="00F96520">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 xml:space="preserve">Les produits pétroliers </w:t>
      </w:r>
    </w:p>
    <w:p w:rsidR="00F96520" w:rsidRDefault="00F96520" w:rsidP="00F96520">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 xml:space="preserve">Les opérations bancaires et financières (les opérations de crédit, les opérations de change, de bourse, sur les titres) </w:t>
      </w:r>
    </w:p>
    <w:p w:rsidR="00F96520" w:rsidRDefault="00F96520" w:rsidP="00F96520">
      <w:pPr>
        <w:pStyle w:val="Paragraphedeliste"/>
        <w:numPr>
          <w:ilvl w:val="0"/>
          <w:numId w:val="6"/>
        </w:numPr>
        <w:jc w:val="both"/>
        <w:rPr>
          <w:rFonts w:asciiTheme="majorBidi" w:hAnsiTheme="majorBidi" w:cstheme="majorBidi"/>
          <w:sz w:val="24"/>
          <w:szCs w:val="24"/>
        </w:rPr>
      </w:pPr>
      <w:r>
        <w:rPr>
          <w:rFonts w:asciiTheme="majorBidi" w:hAnsiTheme="majorBidi" w:cstheme="majorBidi"/>
          <w:sz w:val="24"/>
          <w:szCs w:val="24"/>
        </w:rPr>
        <w:t xml:space="preserve">Les professions libérales à caractère juridique : avocats, notaire, huissiers de justice) </w:t>
      </w:r>
    </w:p>
    <w:p w:rsidR="00F96520" w:rsidRPr="00F96520" w:rsidRDefault="00F96520" w:rsidP="00F96520">
      <w:pPr>
        <w:pStyle w:val="Paragraphedeliste"/>
        <w:numPr>
          <w:ilvl w:val="4"/>
          <w:numId w:val="14"/>
        </w:numPr>
        <w:ind w:left="426"/>
        <w:jc w:val="both"/>
        <w:rPr>
          <w:rFonts w:asciiTheme="majorBidi" w:hAnsiTheme="majorBidi" w:cstheme="majorBidi"/>
          <w:b/>
          <w:bCs/>
          <w:sz w:val="24"/>
          <w:szCs w:val="24"/>
        </w:rPr>
      </w:pPr>
      <w:r w:rsidRPr="00F96520">
        <w:rPr>
          <w:rFonts w:asciiTheme="majorBidi" w:hAnsiTheme="majorBidi" w:cstheme="majorBidi"/>
          <w:b/>
          <w:bCs/>
          <w:sz w:val="24"/>
          <w:szCs w:val="24"/>
        </w:rPr>
        <w:t xml:space="preserve">Le fait générateur </w:t>
      </w:r>
    </w:p>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 xml:space="preserve">Le fait générateur de l’imposition est l’événement qui donne naissance à la dette fiscale envers le receveur de l’administration fiscale et rend l’impôt immédiatement exigible. </w:t>
      </w:r>
    </w:p>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Selon le fait générateur on distingue deux régimes, le régime d’encaissement et le régime de débit</w:t>
      </w:r>
    </w:p>
    <w:p w:rsidR="00F96520" w:rsidRPr="00F96520" w:rsidRDefault="00F96520" w:rsidP="00F96520">
      <w:pPr>
        <w:pStyle w:val="Paragraphedeliste"/>
        <w:numPr>
          <w:ilvl w:val="0"/>
          <w:numId w:val="32"/>
        </w:numPr>
        <w:jc w:val="both"/>
        <w:rPr>
          <w:rFonts w:asciiTheme="majorBidi" w:hAnsiTheme="majorBidi" w:cstheme="majorBidi"/>
          <w:b/>
          <w:bCs/>
          <w:sz w:val="24"/>
          <w:szCs w:val="24"/>
        </w:rPr>
      </w:pPr>
      <w:r w:rsidRPr="00F96520">
        <w:rPr>
          <w:rFonts w:asciiTheme="majorBidi" w:hAnsiTheme="majorBidi" w:cstheme="majorBidi"/>
          <w:b/>
          <w:bCs/>
          <w:sz w:val="24"/>
          <w:szCs w:val="24"/>
        </w:rPr>
        <w:t xml:space="preserve">  Le régime d’encaissement </w:t>
      </w:r>
    </w:p>
    <w:p w:rsidR="00F96520" w:rsidRDefault="00D25290" w:rsidP="00F96520">
      <w:pPr>
        <w:jc w:val="both"/>
        <w:rPr>
          <w:rFonts w:asciiTheme="majorBidi" w:hAnsiTheme="majorBidi" w:cstheme="majorBidi"/>
          <w:sz w:val="24"/>
          <w:szCs w:val="24"/>
        </w:rPr>
      </w:pPr>
      <w:r>
        <w:rPr>
          <w:rFonts w:asciiTheme="majorBidi" w:hAnsiTheme="majorBidi" w:cstheme="majorBidi"/>
          <w:sz w:val="24"/>
          <w:szCs w:val="24"/>
        </w:rPr>
        <w:lastRenderedPageBreak/>
        <w:t>C’est</w:t>
      </w:r>
      <w:r w:rsidR="00F96520">
        <w:rPr>
          <w:rFonts w:asciiTheme="majorBidi" w:hAnsiTheme="majorBidi" w:cstheme="majorBidi"/>
          <w:sz w:val="24"/>
          <w:szCs w:val="24"/>
        </w:rPr>
        <w:t xml:space="preserve"> le régime de droit commun en vigueur au Maroc et qui est adopté par défaut par toute entreprise n’ayant pas formué de demande d’option pour le régime des débits. </w:t>
      </w:r>
    </w:p>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 xml:space="preserve">En matière de TVA, le fait générateur est constitué par l’encaissement du prix, sans considération de la date d’établissement de la facture ou la date de livraison de biens et de prestation de services. </w:t>
      </w:r>
    </w:p>
    <w:p w:rsidR="00F96520" w:rsidRDefault="00F96520" w:rsidP="00F96520">
      <w:pPr>
        <w:jc w:val="both"/>
        <w:rPr>
          <w:rFonts w:asciiTheme="majorBidi" w:hAnsiTheme="majorBidi" w:cstheme="majorBidi"/>
          <w:sz w:val="24"/>
          <w:szCs w:val="24"/>
        </w:rPr>
      </w:pPr>
      <w:r w:rsidRPr="00F96520">
        <w:rPr>
          <w:rFonts w:asciiTheme="majorBidi" w:hAnsiTheme="majorBidi" w:cstheme="majorBidi"/>
          <w:b/>
          <w:bCs/>
          <w:sz w:val="24"/>
          <w:szCs w:val="24"/>
        </w:rPr>
        <w:t>Le fait générateur</w:t>
      </w:r>
      <w:r>
        <w:rPr>
          <w:rFonts w:asciiTheme="majorBidi" w:hAnsiTheme="majorBidi" w:cstheme="majorBidi"/>
          <w:sz w:val="24"/>
          <w:szCs w:val="24"/>
        </w:rPr>
        <w:t xml:space="preserve"> se situe à la date : </w:t>
      </w:r>
    </w:p>
    <w:p w:rsidR="00F96520" w:rsidRDefault="00F96520" w:rsidP="00F96520">
      <w:pPr>
        <w:pStyle w:val="Paragraphedeliste"/>
        <w:numPr>
          <w:ilvl w:val="0"/>
          <w:numId w:val="34"/>
        </w:numPr>
        <w:jc w:val="both"/>
        <w:rPr>
          <w:rFonts w:asciiTheme="majorBidi" w:hAnsiTheme="majorBidi" w:cstheme="majorBidi"/>
          <w:sz w:val="24"/>
          <w:szCs w:val="24"/>
        </w:rPr>
      </w:pPr>
      <w:r>
        <w:rPr>
          <w:rFonts w:asciiTheme="majorBidi" w:hAnsiTheme="majorBidi" w:cstheme="majorBidi"/>
          <w:sz w:val="24"/>
          <w:szCs w:val="24"/>
        </w:rPr>
        <w:t xml:space="preserve">Du versement pour les règlements en espèces </w:t>
      </w:r>
    </w:p>
    <w:p w:rsidR="00F96520" w:rsidRDefault="00F96520" w:rsidP="00F96520">
      <w:pPr>
        <w:pStyle w:val="Paragraphedeliste"/>
        <w:numPr>
          <w:ilvl w:val="0"/>
          <w:numId w:val="34"/>
        </w:numPr>
        <w:jc w:val="both"/>
        <w:rPr>
          <w:rFonts w:asciiTheme="majorBidi" w:hAnsiTheme="majorBidi" w:cstheme="majorBidi"/>
          <w:sz w:val="24"/>
          <w:szCs w:val="24"/>
        </w:rPr>
      </w:pPr>
      <w:r>
        <w:rPr>
          <w:rFonts w:asciiTheme="majorBidi" w:hAnsiTheme="majorBidi" w:cstheme="majorBidi"/>
          <w:sz w:val="24"/>
          <w:szCs w:val="24"/>
        </w:rPr>
        <w:t xml:space="preserve">De l’encaissement effectif du chèque pour ce mode de règlement </w:t>
      </w:r>
    </w:p>
    <w:p w:rsidR="00F96520" w:rsidRPr="00F96520" w:rsidRDefault="00F96520" w:rsidP="00F96520">
      <w:pPr>
        <w:pStyle w:val="Paragraphedeliste"/>
        <w:numPr>
          <w:ilvl w:val="0"/>
          <w:numId w:val="34"/>
        </w:numPr>
        <w:jc w:val="both"/>
        <w:rPr>
          <w:rFonts w:asciiTheme="majorBidi" w:hAnsiTheme="majorBidi" w:cstheme="majorBidi"/>
          <w:sz w:val="24"/>
          <w:szCs w:val="24"/>
        </w:rPr>
      </w:pPr>
      <w:r>
        <w:rPr>
          <w:rFonts w:asciiTheme="majorBidi" w:hAnsiTheme="majorBidi" w:cstheme="majorBidi"/>
          <w:sz w:val="24"/>
          <w:szCs w:val="24"/>
        </w:rPr>
        <w:t xml:space="preserve">D’échéance de l’effet de commerce en cas d’émission de traite </w:t>
      </w:r>
    </w:p>
    <w:tbl>
      <w:tblPr>
        <w:tblStyle w:val="Grilledutableau"/>
        <w:tblW w:w="0" w:type="auto"/>
        <w:tblLook w:val="04A0" w:firstRow="1" w:lastRow="0" w:firstColumn="1" w:lastColumn="0" w:noHBand="0" w:noVBand="1"/>
      </w:tblPr>
      <w:tblGrid>
        <w:gridCol w:w="2263"/>
        <w:gridCol w:w="7473"/>
      </w:tblGrid>
      <w:tr w:rsidR="00F96520" w:rsidTr="00F96520">
        <w:tc>
          <w:tcPr>
            <w:tcW w:w="2263" w:type="dxa"/>
          </w:tcPr>
          <w:p w:rsidR="00F96520" w:rsidRPr="00F96520" w:rsidRDefault="00F96520" w:rsidP="00F96520">
            <w:pPr>
              <w:jc w:val="center"/>
              <w:rPr>
                <w:rFonts w:asciiTheme="majorBidi" w:hAnsiTheme="majorBidi" w:cstheme="majorBidi"/>
                <w:b/>
                <w:bCs/>
                <w:sz w:val="24"/>
                <w:szCs w:val="24"/>
              </w:rPr>
            </w:pPr>
            <w:r w:rsidRPr="00F96520">
              <w:rPr>
                <w:rFonts w:asciiTheme="majorBidi" w:hAnsiTheme="majorBidi" w:cstheme="majorBidi"/>
                <w:b/>
                <w:bCs/>
                <w:sz w:val="24"/>
                <w:szCs w:val="24"/>
              </w:rPr>
              <w:t>Règlement par</w:t>
            </w:r>
          </w:p>
        </w:tc>
        <w:tc>
          <w:tcPr>
            <w:tcW w:w="7473" w:type="dxa"/>
          </w:tcPr>
          <w:p w:rsidR="00F96520" w:rsidRPr="00F96520" w:rsidRDefault="00F96520" w:rsidP="00F96520">
            <w:pPr>
              <w:jc w:val="center"/>
              <w:rPr>
                <w:rFonts w:asciiTheme="majorBidi" w:hAnsiTheme="majorBidi" w:cstheme="majorBidi"/>
                <w:b/>
                <w:bCs/>
                <w:sz w:val="24"/>
                <w:szCs w:val="24"/>
              </w:rPr>
            </w:pPr>
            <w:r w:rsidRPr="00F96520">
              <w:rPr>
                <w:rFonts w:asciiTheme="majorBidi" w:hAnsiTheme="majorBidi" w:cstheme="majorBidi"/>
                <w:b/>
                <w:bCs/>
                <w:sz w:val="24"/>
                <w:szCs w:val="24"/>
              </w:rPr>
              <w:t>Fait générateur</w:t>
            </w:r>
          </w:p>
        </w:tc>
      </w:tr>
      <w:tr w:rsidR="00F96520" w:rsidTr="00F96520">
        <w:tc>
          <w:tcPr>
            <w:tcW w:w="2263" w:type="dxa"/>
          </w:tcPr>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 xml:space="preserve">Chèque </w:t>
            </w:r>
          </w:p>
        </w:tc>
        <w:tc>
          <w:tcPr>
            <w:tcW w:w="7473" w:type="dxa"/>
          </w:tcPr>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 xml:space="preserve">Encaissement effectif du chèque </w:t>
            </w:r>
          </w:p>
        </w:tc>
      </w:tr>
      <w:tr w:rsidR="00F96520" w:rsidTr="00F96520">
        <w:tc>
          <w:tcPr>
            <w:tcW w:w="2263" w:type="dxa"/>
          </w:tcPr>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Effet de commerce</w:t>
            </w:r>
          </w:p>
        </w:tc>
        <w:tc>
          <w:tcPr>
            <w:tcW w:w="7473" w:type="dxa"/>
          </w:tcPr>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 xml:space="preserve">Echéance de l’effet et non la date de remise à l’escompte </w:t>
            </w:r>
          </w:p>
        </w:tc>
      </w:tr>
      <w:tr w:rsidR="00F96520" w:rsidTr="00F96520">
        <w:tc>
          <w:tcPr>
            <w:tcW w:w="2263" w:type="dxa"/>
          </w:tcPr>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 xml:space="preserve">Société d’affacturage </w:t>
            </w:r>
          </w:p>
        </w:tc>
        <w:tc>
          <w:tcPr>
            <w:tcW w:w="7473" w:type="dxa"/>
          </w:tcPr>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 xml:space="preserve">Paiement effectif du client entre les mains de la société d’affacturage </w:t>
            </w:r>
          </w:p>
        </w:tc>
      </w:tr>
    </w:tbl>
    <w:p w:rsidR="00F96520" w:rsidRDefault="00F96520" w:rsidP="00F96520">
      <w:pPr>
        <w:jc w:val="both"/>
        <w:rPr>
          <w:rFonts w:asciiTheme="majorBidi" w:hAnsiTheme="majorBidi" w:cstheme="majorBidi"/>
          <w:sz w:val="24"/>
          <w:szCs w:val="24"/>
        </w:rPr>
      </w:pPr>
    </w:p>
    <w:p w:rsidR="00F96520" w:rsidRPr="00F96520" w:rsidRDefault="00F96520" w:rsidP="00F96520">
      <w:pPr>
        <w:pStyle w:val="Paragraphedeliste"/>
        <w:numPr>
          <w:ilvl w:val="0"/>
          <w:numId w:val="32"/>
        </w:numPr>
        <w:jc w:val="both"/>
        <w:rPr>
          <w:rFonts w:asciiTheme="majorBidi" w:hAnsiTheme="majorBidi" w:cstheme="majorBidi"/>
          <w:b/>
          <w:bCs/>
          <w:sz w:val="24"/>
          <w:szCs w:val="24"/>
        </w:rPr>
      </w:pPr>
      <w:r w:rsidRPr="00F96520">
        <w:rPr>
          <w:rFonts w:asciiTheme="majorBidi" w:hAnsiTheme="majorBidi" w:cstheme="majorBidi"/>
          <w:b/>
          <w:bCs/>
          <w:sz w:val="24"/>
          <w:szCs w:val="24"/>
        </w:rPr>
        <w:t xml:space="preserve">Option pour le régime des débits </w:t>
      </w:r>
    </w:p>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 xml:space="preserve">Les entreprises assujetties à la TVA peuvent Opter pour son acquittement selon leurs débits. Dans ce régime, le fait générateur de la TVA est constitué par l’inscription du montant concerné au débit d’un compte. Cette inscription coïncide généralement avec la facturation (débit du compte « client »). Mais les encaissements intervenant avant cette inscription sont taxables (débit d’un compte de trésorerie) </w:t>
      </w:r>
    </w:p>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 xml:space="preserve"> Toutefois, la livraison des produits constitue un fait générateur de la TVA en cas d’option pour le régime des débits et ce en l’absence de facturation ou d’encaissement. </w:t>
      </w:r>
    </w:p>
    <w:p w:rsidR="00F96520" w:rsidRPr="00F96520" w:rsidRDefault="00F96520" w:rsidP="00F96520">
      <w:pPr>
        <w:jc w:val="both"/>
        <w:rPr>
          <w:rFonts w:asciiTheme="majorBidi" w:hAnsiTheme="majorBidi" w:cstheme="majorBidi"/>
          <w:b/>
          <w:bCs/>
          <w:sz w:val="28"/>
          <w:szCs w:val="28"/>
        </w:rPr>
      </w:pPr>
      <w:r w:rsidRPr="00F96520">
        <w:rPr>
          <w:rFonts w:asciiTheme="majorBidi" w:hAnsiTheme="majorBidi" w:cstheme="majorBidi"/>
          <w:b/>
          <w:bCs/>
          <w:sz w:val="28"/>
          <w:szCs w:val="28"/>
        </w:rPr>
        <w:t xml:space="preserve">Cas particuliers </w:t>
      </w:r>
    </w:p>
    <w:p w:rsidR="00F96520" w:rsidRPr="00F96520" w:rsidRDefault="00F96520" w:rsidP="00F96520">
      <w:pPr>
        <w:jc w:val="both"/>
        <w:rPr>
          <w:rFonts w:asciiTheme="majorBidi" w:hAnsiTheme="majorBidi" w:cstheme="majorBidi"/>
          <w:b/>
          <w:bCs/>
          <w:sz w:val="24"/>
          <w:szCs w:val="24"/>
          <w:u w:val="single"/>
        </w:rPr>
      </w:pPr>
      <w:r w:rsidRPr="00F96520">
        <w:rPr>
          <w:rFonts w:asciiTheme="majorBidi" w:hAnsiTheme="majorBidi" w:cstheme="majorBidi"/>
          <w:b/>
          <w:bCs/>
          <w:sz w:val="24"/>
          <w:szCs w:val="24"/>
          <w:u w:val="single"/>
        </w:rPr>
        <w:t xml:space="preserve">Cas des importations </w:t>
      </w:r>
    </w:p>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Le fait générateur du paiement de la TVA pour les importations est constitué par l’opération matérielle de dédouanement en vue de la mise à la consommation des marchandises importées.</w:t>
      </w:r>
    </w:p>
    <w:p w:rsidR="00F96520" w:rsidRDefault="00F96520" w:rsidP="00F96520">
      <w:pPr>
        <w:jc w:val="both"/>
        <w:rPr>
          <w:rFonts w:asciiTheme="majorBidi" w:hAnsiTheme="majorBidi" w:cstheme="majorBidi"/>
          <w:sz w:val="24"/>
          <w:szCs w:val="24"/>
        </w:rPr>
      </w:pPr>
      <w:r>
        <w:rPr>
          <w:rFonts w:asciiTheme="majorBidi" w:hAnsiTheme="majorBidi" w:cstheme="majorBidi"/>
          <w:sz w:val="24"/>
          <w:szCs w:val="24"/>
        </w:rPr>
        <w:t>Toutefois, les importations peuvent être faites en franchise de TVA lorsqu’elles sont faites dans le cadre des régimes économiques en douane :</w:t>
      </w:r>
    </w:p>
    <w:p w:rsidR="00F96520" w:rsidRDefault="00F96520" w:rsidP="00F96520">
      <w:pPr>
        <w:pStyle w:val="Paragraphedeliste"/>
        <w:numPr>
          <w:ilvl w:val="0"/>
          <w:numId w:val="35"/>
        </w:numPr>
        <w:jc w:val="both"/>
        <w:rPr>
          <w:rFonts w:asciiTheme="majorBidi" w:hAnsiTheme="majorBidi" w:cstheme="majorBidi"/>
          <w:sz w:val="24"/>
          <w:szCs w:val="24"/>
        </w:rPr>
      </w:pPr>
      <w:r>
        <w:rPr>
          <w:rFonts w:asciiTheme="majorBidi" w:hAnsiTheme="majorBidi" w:cstheme="majorBidi"/>
          <w:sz w:val="24"/>
          <w:szCs w:val="24"/>
        </w:rPr>
        <w:t xml:space="preserve">Régime de transit : les marchandises importées sont destinées à </w:t>
      </w:r>
      <w:r w:rsidR="00026BA3">
        <w:rPr>
          <w:rFonts w:asciiTheme="majorBidi" w:hAnsiTheme="majorBidi" w:cstheme="majorBidi"/>
          <w:sz w:val="24"/>
          <w:szCs w:val="24"/>
        </w:rPr>
        <w:t>être</w:t>
      </w:r>
      <w:r>
        <w:rPr>
          <w:rFonts w:asciiTheme="majorBidi" w:hAnsiTheme="majorBidi" w:cstheme="majorBidi"/>
          <w:sz w:val="24"/>
          <w:szCs w:val="24"/>
        </w:rPr>
        <w:t xml:space="preserve"> réexportées </w:t>
      </w:r>
    </w:p>
    <w:p w:rsidR="00F96520" w:rsidRPr="00F96520" w:rsidRDefault="00F96520" w:rsidP="00F96520">
      <w:pPr>
        <w:pStyle w:val="Paragraphedeliste"/>
        <w:numPr>
          <w:ilvl w:val="0"/>
          <w:numId w:val="35"/>
        </w:numPr>
        <w:jc w:val="both"/>
        <w:rPr>
          <w:rFonts w:asciiTheme="majorBidi" w:hAnsiTheme="majorBidi" w:cstheme="majorBidi"/>
          <w:sz w:val="24"/>
          <w:szCs w:val="24"/>
        </w:rPr>
      </w:pPr>
      <w:r>
        <w:rPr>
          <w:rFonts w:asciiTheme="majorBidi" w:hAnsiTheme="majorBidi" w:cstheme="majorBidi"/>
          <w:sz w:val="24"/>
          <w:szCs w:val="24"/>
        </w:rPr>
        <w:t xml:space="preserve">Régime de l’admission temporaire : les marchandises sont destinées à </w:t>
      </w:r>
      <w:r w:rsidR="00026BA3">
        <w:rPr>
          <w:rFonts w:asciiTheme="majorBidi" w:hAnsiTheme="majorBidi" w:cstheme="majorBidi"/>
          <w:sz w:val="24"/>
          <w:szCs w:val="24"/>
        </w:rPr>
        <w:t>être</w:t>
      </w:r>
      <w:r>
        <w:rPr>
          <w:rFonts w:asciiTheme="majorBidi" w:hAnsiTheme="majorBidi" w:cstheme="majorBidi"/>
          <w:sz w:val="24"/>
          <w:szCs w:val="24"/>
        </w:rPr>
        <w:t xml:space="preserve"> incorporées dans des produits devant être exportés </w:t>
      </w:r>
    </w:p>
    <w:p w:rsidR="00F96520" w:rsidRPr="00F96520" w:rsidRDefault="00F96520" w:rsidP="00F96520">
      <w:pPr>
        <w:jc w:val="both"/>
        <w:rPr>
          <w:rFonts w:asciiTheme="majorBidi" w:hAnsiTheme="majorBidi" w:cstheme="majorBidi"/>
          <w:b/>
          <w:bCs/>
          <w:sz w:val="24"/>
          <w:szCs w:val="24"/>
          <w:u w:val="single"/>
        </w:rPr>
      </w:pPr>
      <w:r w:rsidRPr="00F96520">
        <w:rPr>
          <w:rFonts w:asciiTheme="majorBidi" w:hAnsiTheme="majorBidi" w:cstheme="majorBidi"/>
          <w:b/>
          <w:bCs/>
          <w:sz w:val="24"/>
          <w:szCs w:val="24"/>
          <w:u w:val="single"/>
        </w:rPr>
        <w:t xml:space="preserve">Cas de la livraison à soi-même </w:t>
      </w:r>
    </w:p>
    <w:p w:rsidR="00F96520" w:rsidRPr="00F96520" w:rsidRDefault="00F96520" w:rsidP="00F96520">
      <w:pPr>
        <w:jc w:val="both"/>
        <w:rPr>
          <w:rFonts w:asciiTheme="majorBidi" w:hAnsiTheme="majorBidi" w:cstheme="majorBidi"/>
          <w:sz w:val="24"/>
          <w:szCs w:val="24"/>
        </w:rPr>
      </w:pPr>
      <w:r w:rsidRPr="00F96520">
        <w:rPr>
          <w:rFonts w:asciiTheme="majorBidi" w:hAnsiTheme="majorBidi" w:cstheme="majorBidi"/>
          <w:sz w:val="24"/>
          <w:szCs w:val="24"/>
        </w:rPr>
        <w:t xml:space="preserve">Le fait générateur est constitué par l’achèvement des travaux dans le cas des biens immobiliers (bâtiment, unités de fabrication) et la livraison effective du bien, lorsqu’il s’agit de biens mobiliers. </w:t>
      </w:r>
    </w:p>
    <w:p w:rsidR="00F96520" w:rsidRPr="00F96520" w:rsidRDefault="00F96520" w:rsidP="00F96520">
      <w:pPr>
        <w:ind w:left="76"/>
        <w:jc w:val="both"/>
        <w:rPr>
          <w:rFonts w:asciiTheme="majorBidi" w:hAnsiTheme="majorBidi" w:cstheme="majorBidi"/>
          <w:sz w:val="24"/>
          <w:szCs w:val="24"/>
        </w:rPr>
      </w:pPr>
    </w:p>
    <w:p w:rsidR="00F96520" w:rsidRPr="00F96520" w:rsidRDefault="00F96520" w:rsidP="00F96520">
      <w:pPr>
        <w:ind w:left="76"/>
        <w:jc w:val="both"/>
        <w:rPr>
          <w:rFonts w:asciiTheme="majorBidi" w:hAnsiTheme="majorBidi" w:cstheme="majorBidi"/>
          <w:sz w:val="24"/>
          <w:szCs w:val="24"/>
        </w:rPr>
      </w:pPr>
    </w:p>
    <w:sectPr w:rsidR="00F96520" w:rsidRPr="00F96520" w:rsidSect="00B611A1">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6F3" w:rsidRDefault="002B06F3" w:rsidP="00E50FDD">
      <w:pPr>
        <w:spacing w:after="0" w:line="240" w:lineRule="auto"/>
      </w:pPr>
      <w:r>
        <w:separator/>
      </w:r>
    </w:p>
  </w:endnote>
  <w:endnote w:type="continuationSeparator" w:id="0">
    <w:p w:rsidR="002B06F3" w:rsidRDefault="002B06F3" w:rsidP="00E50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8518759"/>
      <w:docPartObj>
        <w:docPartGallery w:val="Page Numbers (Bottom of Page)"/>
        <w:docPartUnique/>
      </w:docPartObj>
    </w:sdtPr>
    <w:sdtEndPr/>
    <w:sdtContent>
      <w:p w:rsidR="00A203CB" w:rsidRDefault="00A203CB" w:rsidP="00A203CB">
        <w:pPr>
          <w:pStyle w:val="Pieddepage"/>
          <w:jc w:val="right"/>
        </w:pPr>
        <w:r>
          <w:t xml:space="preserve">AALILOUCH Nabila | </w:t>
        </w:r>
        <w:r>
          <w:fldChar w:fldCharType="begin"/>
        </w:r>
        <w:r>
          <w:instrText>PAGE   \* MERGEFORMAT</w:instrText>
        </w:r>
        <w:r>
          <w:fldChar w:fldCharType="separate"/>
        </w:r>
        <w:r w:rsidR="00412665">
          <w:rPr>
            <w:noProof/>
          </w:rPr>
          <w:t>3</w:t>
        </w:r>
        <w:r>
          <w:fldChar w:fldCharType="end"/>
        </w:r>
        <w:r>
          <w:t xml:space="preserve"> </w:t>
        </w:r>
      </w:p>
    </w:sdtContent>
  </w:sdt>
  <w:p w:rsidR="00A203CB" w:rsidRDefault="00A203C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6F3" w:rsidRDefault="002B06F3" w:rsidP="00E50FDD">
      <w:pPr>
        <w:spacing w:after="0" w:line="240" w:lineRule="auto"/>
      </w:pPr>
      <w:r>
        <w:separator/>
      </w:r>
    </w:p>
  </w:footnote>
  <w:footnote w:type="continuationSeparator" w:id="0">
    <w:p w:rsidR="002B06F3" w:rsidRDefault="002B06F3" w:rsidP="00E50F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FDD" w:rsidRDefault="002B06F3" w:rsidP="00E50FDD">
    <w:pPr>
      <w:pStyle w:val="En-tte"/>
      <w:rPr>
        <w:sz w:val="24"/>
        <w:szCs w:val="24"/>
      </w:rPr>
    </w:pPr>
    <w:sdt>
      <w:sdtPr>
        <w:rPr>
          <w:rFonts w:asciiTheme="majorHAnsi" w:eastAsiaTheme="majorEastAsia" w:hAnsiTheme="majorHAnsi" w:cstheme="majorBidi"/>
          <w:color w:val="5B9BD5" w:themeColor="accent1"/>
          <w:sz w:val="24"/>
          <w:szCs w:val="24"/>
        </w:rPr>
        <w:alias w:val="Titre"/>
        <w:id w:val="1034239039"/>
        <w:placeholder>
          <w:docPart w:val="073BAF28A34144E993030DDADC12D9A5"/>
        </w:placeholder>
        <w:dataBinding w:prefixMappings="xmlns:ns0='http://schemas.openxmlformats.org/package/2006/metadata/core-properties' xmlns:ns1='http://purl.org/dc/elements/1.1/'" w:xpath="/ns0:coreProperties[1]/ns1:title[1]" w:storeItemID="{6C3C8BC8-F283-45AE-878A-BAB7291924A1}"/>
        <w:text/>
      </w:sdtPr>
      <w:sdtEndPr/>
      <w:sdtContent>
        <w:r w:rsidR="00B611A1">
          <w:rPr>
            <w:rFonts w:asciiTheme="majorHAnsi" w:eastAsiaTheme="majorEastAsia" w:hAnsiTheme="majorHAnsi" w:cstheme="majorBidi"/>
            <w:color w:val="5B9BD5" w:themeColor="accent1"/>
            <w:sz w:val="24"/>
            <w:szCs w:val="24"/>
          </w:rPr>
          <w:t>BTS -1 ère année CG-MC</w:t>
        </w:r>
      </w:sdtContent>
    </w:sdt>
    <w:r w:rsidR="00E50FDD">
      <w:rPr>
        <w:rFonts w:asciiTheme="majorHAnsi" w:eastAsiaTheme="majorEastAsia" w:hAnsiTheme="majorHAnsi" w:cstheme="majorBidi"/>
        <w:color w:val="5B9BD5" w:themeColor="accent1"/>
        <w:sz w:val="24"/>
        <w:szCs w:val="24"/>
      </w:rPr>
      <w:ptab w:relativeTo="margin" w:alignment="right" w:leader="none"/>
    </w:r>
    <w:sdt>
      <w:sdtPr>
        <w:rPr>
          <w:rFonts w:ascii="Times New Roman" w:eastAsia="Times New Roman" w:hAnsi="Times New Roman" w:cs="Times New Roman"/>
          <w:sz w:val="24"/>
          <w:szCs w:val="24"/>
          <w:lang w:eastAsia="fr-FR"/>
        </w:rPr>
        <w:alias w:val="Date "/>
        <w:id w:val="-1841923511"/>
        <w:placeholder>
          <w:docPart w:val="7AA5AB9451254D25A22BD9A7435728DB"/>
        </w:placeholder>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EndPr/>
      <w:sdtContent>
        <w:r w:rsidR="00E50FDD" w:rsidRPr="00E50FDD">
          <w:rPr>
            <w:rFonts w:ascii="Times New Roman" w:eastAsia="Times New Roman" w:hAnsi="Times New Roman" w:cs="Times New Roman"/>
            <w:sz w:val="24"/>
            <w:szCs w:val="24"/>
            <w:lang w:eastAsia="fr-FR"/>
          </w:rPr>
          <w:t>le droit appliqué</w:t>
        </w:r>
      </w:sdtContent>
    </w:sdt>
  </w:p>
  <w:p w:rsidR="00E50FDD" w:rsidRDefault="00E50FDD">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6DA5"/>
    <w:multiLevelType w:val="hybridMultilevel"/>
    <w:tmpl w:val="3260DCBA"/>
    <w:lvl w:ilvl="0" w:tplc="4A806E18">
      <w:start w:val="2"/>
      <w:numFmt w:val="bullet"/>
      <w:lvlText w:val="-"/>
      <w:lvlJc w:val="left"/>
      <w:pPr>
        <w:ind w:left="-1123" w:hanging="360"/>
      </w:pPr>
      <w:rPr>
        <w:rFonts w:ascii="Times New Roman" w:eastAsiaTheme="minorHAnsi" w:hAnsi="Times New Roman" w:cs="Times New Roman" w:hint="default"/>
      </w:rPr>
    </w:lvl>
    <w:lvl w:ilvl="1" w:tplc="040C0003" w:tentative="1">
      <w:start w:val="1"/>
      <w:numFmt w:val="bullet"/>
      <w:lvlText w:val="o"/>
      <w:lvlJc w:val="left"/>
      <w:pPr>
        <w:ind w:left="524" w:hanging="360"/>
      </w:pPr>
      <w:rPr>
        <w:rFonts w:ascii="Courier New" w:hAnsi="Courier New" w:cs="Courier New" w:hint="default"/>
      </w:rPr>
    </w:lvl>
    <w:lvl w:ilvl="2" w:tplc="040C0005" w:tentative="1">
      <w:start w:val="1"/>
      <w:numFmt w:val="bullet"/>
      <w:lvlText w:val=""/>
      <w:lvlJc w:val="left"/>
      <w:pPr>
        <w:ind w:left="1244" w:hanging="360"/>
      </w:pPr>
      <w:rPr>
        <w:rFonts w:ascii="Wingdings" w:hAnsi="Wingdings" w:hint="default"/>
      </w:rPr>
    </w:lvl>
    <w:lvl w:ilvl="3" w:tplc="040C0001" w:tentative="1">
      <w:start w:val="1"/>
      <w:numFmt w:val="bullet"/>
      <w:lvlText w:val=""/>
      <w:lvlJc w:val="left"/>
      <w:pPr>
        <w:ind w:left="1964" w:hanging="360"/>
      </w:pPr>
      <w:rPr>
        <w:rFonts w:ascii="Symbol" w:hAnsi="Symbol" w:hint="default"/>
      </w:rPr>
    </w:lvl>
    <w:lvl w:ilvl="4" w:tplc="040C0003" w:tentative="1">
      <w:start w:val="1"/>
      <w:numFmt w:val="bullet"/>
      <w:lvlText w:val="o"/>
      <w:lvlJc w:val="left"/>
      <w:pPr>
        <w:ind w:left="2684" w:hanging="360"/>
      </w:pPr>
      <w:rPr>
        <w:rFonts w:ascii="Courier New" w:hAnsi="Courier New" w:cs="Courier New" w:hint="default"/>
      </w:rPr>
    </w:lvl>
    <w:lvl w:ilvl="5" w:tplc="040C0005" w:tentative="1">
      <w:start w:val="1"/>
      <w:numFmt w:val="bullet"/>
      <w:lvlText w:val=""/>
      <w:lvlJc w:val="left"/>
      <w:pPr>
        <w:ind w:left="3404" w:hanging="360"/>
      </w:pPr>
      <w:rPr>
        <w:rFonts w:ascii="Wingdings" w:hAnsi="Wingdings" w:hint="default"/>
      </w:rPr>
    </w:lvl>
    <w:lvl w:ilvl="6" w:tplc="040C0001" w:tentative="1">
      <w:start w:val="1"/>
      <w:numFmt w:val="bullet"/>
      <w:lvlText w:val=""/>
      <w:lvlJc w:val="left"/>
      <w:pPr>
        <w:ind w:left="4124" w:hanging="360"/>
      </w:pPr>
      <w:rPr>
        <w:rFonts w:ascii="Symbol" w:hAnsi="Symbol" w:hint="default"/>
      </w:rPr>
    </w:lvl>
    <w:lvl w:ilvl="7" w:tplc="040C0003" w:tentative="1">
      <w:start w:val="1"/>
      <w:numFmt w:val="bullet"/>
      <w:lvlText w:val="o"/>
      <w:lvlJc w:val="left"/>
      <w:pPr>
        <w:ind w:left="4844" w:hanging="360"/>
      </w:pPr>
      <w:rPr>
        <w:rFonts w:ascii="Courier New" w:hAnsi="Courier New" w:cs="Courier New" w:hint="default"/>
      </w:rPr>
    </w:lvl>
    <w:lvl w:ilvl="8" w:tplc="040C0005" w:tentative="1">
      <w:start w:val="1"/>
      <w:numFmt w:val="bullet"/>
      <w:lvlText w:val=""/>
      <w:lvlJc w:val="left"/>
      <w:pPr>
        <w:ind w:left="5564" w:hanging="360"/>
      </w:pPr>
      <w:rPr>
        <w:rFonts w:ascii="Wingdings" w:hAnsi="Wingdings" w:hint="default"/>
      </w:rPr>
    </w:lvl>
  </w:abstractNum>
  <w:abstractNum w:abstractNumId="1" w15:restartNumberingAfterBreak="0">
    <w:nsid w:val="00310BEB"/>
    <w:multiLevelType w:val="hybridMultilevel"/>
    <w:tmpl w:val="AC04A89A"/>
    <w:lvl w:ilvl="0" w:tplc="040C0001">
      <w:start w:val="1"/>
      <w:numFmt w:val="bullet"/>
      <w:lvlText w:val=""/>
      <w:lvlJc w:val="left"/>
      <w:pPr>
        <w:ind w:left="-1690" w:hanging="360"/>
      </w:pPr>
      <w:rPr>
        <w:rFonts w:ascii="Symbol" w:hAnsi="Symbol" w:hint="default"/>
      </w:rPr>
    </w:lvl>
    <w:lvl w:ilvl="1" w:tplc="040C0003" w:tentative="1">
      <w:start w:val="1"/>
      <w:numFmt w:val="bullet"/>
      <w:lvlText w:val="o"/>
      <w:lvlJc w:val="left"/>
      <w:pPr>
        <w:ind w:left="-43" w:hanging="360"/>
      </w:pPr>
      <w:rPr>
        <w:rFonts w:ascii="Courier New" w:hAnsi="Courier New" w:cs="Courier New" w:hint="default"/>
      </w:rPr>
    </w:lvl>
    <w:lvl w:ilvl="2" w:tplc="040C0005" w:tentative="1">
      <w:start w:val="1"/>
      <w:numFmt w:val="bullet"/>
      <w:lvlText w:val=""/>
      <w:lvlJc w:val="left"/>
      <w:pPr>
        <w:ind w:left="677" w:hanging="360"/>
      </w:pPr>
      <w:rPr>
        <w:rFonts w:ascii="Wingdings" w:hAnsi="Wingdings" w:hint="default"/>
      </w:rPr>
    </w:lvl>
    <w:lvl w:ilvl="3" w:tplc="040C0001" w:tentative="1">
      <w:start w:val="1"/>
      <w:numFmt w:val="bullet"/>
      <w:lvlText w:val=""/>
      <w:lvlJc w:val="left"/>
      <w:pPr>
        <w:ind w:left="1397" w:hanging="360"/>
      </w:pPr>
      <w:rPr>
        <w:rFonts w:ascii="Symbol" w:hAnsi="Symbol" w:hint="default"/>
      </w:rPr>
    </w:lvl>
    <w:lvl w:ilvl="4" w:tplc="040C0003" w:tentative="1">
      <w:start w:val="1"/>
      <w:numFmt w:val="bullet"/>
      <w:lvlText w:val="o"/>
      <w:lvlJc w:val="left"/>
      <w:pPr>
        <w:ind w:left="2117" w:hanging="360"/>
      </w:pPr>
      <w:rPr>
        <w:rFonts w:ascii="Courier New" w:hAnsi="Courier New" w:cs="Courier New" w:hint="default"/>
      </w:rPr>
    </w:lvl>
    <w:lvl w:ilvl="5" w:tplc="040C0005" w:tentative="1">
      <w:start w:val="1"/>
      <w:numFmt w:val="bullet"/>
      <w:lvlText w:val=""/>
      <w:lvlJc w:val="left"/>
      <w:pPr>
        <w:ind w:left="2837" w:hanging="360"/>
      </w:pPr>
      <w:rPr>
        <w:rFonts w:ascii="Wingdings" w:hAnsi="Wingdings" w:hint="default"/>
      </w:rPr>
    </w:lvl>
    <w:lvl w:ilvl="6" w:tplc="040C0001" w:tentative="1">
      <w:start w:val="1"/>
      <w:numFmt w:val="bullet"/>
      <w:lvlText w:val=""/>
      <w:lvlJc w:val="left"/>
      <w:pPr>
        <w:ind w:left="3557" w:hanging="360"/>
      </w:pPr>
      <w:rPr>
        <w:rFonts w:ascii="Symbol" w:hAnsi="Symbol" w:hint="default"/>
      </w:rPr>
    </w:lvl>
    <w:lvl w:ilvl="7" w:tplc="040C0003" w:tentative="1">
      <w:start w:val="1"/>
      <w:numFmt w:val="bullet"/>
      <w:lvlText w:val="o"/>
      <w:lvlJc w:val="left"/>
      <w:pPr>
        <w:ind w:left="4277" w:hanging="360"/>
      </w:pPr>
      <w:rPr>
        <w:rFonts w:ascii="Courier New" w:hAnsi="Courier New" w:cs="Courier New" w:hint="default"/>
      </w:rPr>
    </w:lvl>
    <w:lvl w:ilvl="8" w:tplc="040C0005" w:tentative="1">
      <w:start w:val="1"/>
      <w:numFmt w:val="bullet"/>
      <w:lvlText w:val=""/>
      <w:lvlJc w:val="left"/>
      <w:pPr>
        <w:ind w:left="4997" w:hanging="360"/>
      </w:pPr>
      <w:rPr>
        <w:rFonts w:ascii="Wingdings" w:hAnsi="Wingdings" w:hint="default"/>
      </w:rPr>
    </w:lvl>
  </w:abstractNum>
  <w:abstractNum w:abstractNumId="2" w15:restartNumberingAfterBreak="0">
    <w:nsid w:val="010838C8"/>
    <w:multiLevelType w:val="hybridMultilevel"/>
    <w:tmpl w:val="37D6934E"/>
    <w:lvl w:ilvl="0" w:tplc="040C0001">
      <w:start w:val="1"/>
      <w:numFmt w:val="bullet"/>
      <w:lvlText w:val=""/>
      <w:lvlJc w:val="left"/>
      <w:pPr>
        <w:ind w:left="-1123" w:hanging="360"/>
      </w:pPr>
      <w:rPr>
        <w:rFonts w:ascii="Symbol" w:hAnsi="Symbol" w:hint="default"/>
      </w:rPr>
    </w:lvl>
    <w:lvl w:ilvl="1" w:tplc="040C0003" w:tentative="1">
      <w:start w:val="1"/>
      <w:numFmt w:val="bullet"/>
      <w:lvlText w:val="o"/>
      <w:lvlJc w:val="left"/>
      <w:pPr>
        <w:ind w:left="524" w:hanging="360"/>
      </w:pPr>
      <w:rPr>
        <w:rFonts w:ascii="Courier New" w:hAnsi="Courier New" w:cs="Courier New" w:hint="default"/>
      </w:rPr>
    </w:lvl>
    <w:lvl w:ilvl="2" w:tplc="040C0005" w:tentative="1">
      <w:start w:val="1"/>
      <w:numFmt w:val="bullet"/>
      <w:lvlText w:val=""/>
      <w:lvlJc w:val="left"/>
      <w:pPr>
        <w:ind w:left="1244" w:hanging="360"/>
      </w:pPr>
      <w:rPr>
        <w:rFonts w:ascii="Wingdings" w:hAnsi="Wingdings" w:hint="default"/>
      </w:rPr>
    </w:lvl>
    <w:lvl w:ilvl="3" w:tplc="040C0001" w:tentative="1">
      <w:start w:val="1"/>
      <w:numFmt w:val="bullet"/>
      <w:lvlText w:val=""/>
      <w:lvlJc w:val="left"/>
      <w:pPr>
        <w:ind w:left="1964" w:hanging="360"/>
      </w:pPr>
      <w:rPr>
        <w:rFonts w:ascii="Symbol" w:hAnsi="Symbol" w:hint="default"/>
      </w:rPr>
    </w:lvl>
    <w:lvl w:ilvl="4" w:tplc="040C0003" w:tentative="1">
      <w:start w:val="1"/>
      <w:numFmt w:val="bullet"/>
      <w:lvlText w:val="o"/>
      <w:lvlJc w:val="left"/>
      <w:pPr>
        <w:ind w:left="2684" w:hanging="360"/>
      </w:pPr>
      <w:rPr>
        <w:rFonts w:ascii="Courier New" w:hAnsi="Courier New" w:cs="Courier New" w:hint="default"/>
      </w:rPr>
    </w:lvl>
    <w:lvl w:ilvl="5" w:tplc="040C0005" w:tentative="1">
      <w:start w:val="1"/>
      <w:numFmt w:val="bullet"/>
      <w:lvlText w:val=""/>
      <w:lvlJc w:val="left"/>
      <w:pPr>
        <w:ind w:left="3404" w:hanging="360"/>
      </w:pPr>
      <w:rPr>
        <w:rFonts w:ascii="Wingdings" w:hAnsi="Wingdings" w:hint="default"/>
      </w:rPr>
    </w:lvl>
    <w:lvl w:ilvl="6" w:tplc="040C0001" w:tentative="1">
      <w:start w:val="1"/>
      <w:numFmt w:val="bullet"/>
      <w:lvlText w:val=""/>
      <w:lvlJc w:val="left"/>
      <w:pPr>
        <w:ind w:left="4124" w:hanging="360"/>
      </w:pPr>
      <w:rPr>
        <w:rFonts w:ascii="Symbol" w:hAnsi="Symbol" w:hint="default"/>
      </w:rPr>
    </w:lvl>
    <w:lvl w:ilvl="7" w:tplc="040C0003" w:tentative="1">
      <w:start w:val="1"/>
      <w:numFmt w:val="bullet"/>
      <w:lvlText w:val="o"/>
      <w:lvlJc w:val="left"/>
      <w:pPr>
        <w:ind w:left="4844" w:hanging="360"/>
      </w:pPr>
      <w:rPr>
        <w:rFonts w:ascii="Courier New" w:hAnsi="Courier New" w:cs="Courier New" w:hint="default"/>
      </w:rPr>
    </w:lvl>
    <w:lvl w:ilvl="8" w:tplc="040C0005" w:tentative="1">
      <w:start w:val="1"/>
      <w:numFmt w:val="bullet"/>
      <w:lvlText w:val=""/>
      <w:lvlJc w:val="left"/>
      <w:pPr>
        <w:ind w:left="5564" w:hanging="360"/>
      </w:pPr>
      <w:rPr>
        <w:rFonts w:ascii="Wingdings" w:hAnsi="Wingdings" w:hint="default"/>
      </w:rPr>
    </w:lvl>
  </w:abstractNum>
  <w:abstractNum w:abstractNumId="3" w15:restartNumberingAfterBreak="0">
    <w:nsid w:val="023C6BBD"/>
    <w:multiLevelType w:val="hybridMultilevel"/>
    <w:tmpl w:val="3DCADE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DB4023"/>
    <w:multiLevelType w:val="hybridMultilevel"/>
    <w:tmpl w:val="93B27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5D4334"/>
    <w:multiLevelType w:val="hybridMultilevel"/>
    <w:tmpl w:val="CBA03BE8"/>
    <w:lvl w:ilvl="0" w:tplc="82ECFDD0">
      <w:start w:val="1"/>
      <w:numFmt w:val="upperLetter"/>
      <w:lvlText w:val="%1."/>
      <w:lvlJc w:val="left"/>
      <w:pPr>
        <w:ind w:left="66" w:hanging="360"/>
      </w:pPr>
      <w:rPr>
        <w:rFonts w:hint="default"/>
      </w:rPr>
    </w:lvl>
    <w:lvl w:ilvl="1" w:tplc="040C0019" w:tentative="1">
      <w:start w:val="1"/>
      <w:numFmt w:val="lowerLetter"/>
      <w:lvlText w:val="%2."/>
      <w:lvlJc w:val="left"/>
      <w:pPr>
        <w:ind w:left="786" w:hanging="360"/>
      </w:pPr>
    </w:lvl>
    <w:lvl w:ilvl="2" w:tplc="040C001B" w:tentative="1">
      <w:start w:val="1"/>
      <w:numFmt w:val="lowerRoman"/>
      <w:lvlText w:val="%3."/>
      <w:lvlJc w:val="right"/>
      <w:pPr>
        <w:ind w:left="1506" w:hanging="180"/>
      </w:pPr>
    </w:lvl>
    <w:lvl w:ilvl="3" w:tplc="040C000F" w:tentative="1">
      <w:start w:val="1"/>
      <w:numFmt w:val="decimal"/>
      <w:lvlText w:val="%4."/>
      <w:lvlJc w:val="left"/>
      <w:pPr>
        <w:ind w:left="2226" w:hanging="360"/>
      </w:pPr>
    </w:lvl>
    <w:lvl w:ilvl="4" w:tplc="040C0019" w:tentative="1">
      <w:start w:val="1"/>
      <w:numFmt w:val="lowerLetter"/>
      <w:lvlText w:val="%5."/>
      <w:lvlJc w:val="left"/>
      <w:pPr>
        <w:ind w:left="2946" w:hanging="360"/>
      </w:pPr>
    </w:lvl>
    <w:lvl w:ilvl="5" w:tplc="040C001B" w:tentative="1">
      <w:start w:val="1"/>
      <w:numFmt w:val="lowerRoman"/>
      <w:lvlText w:val="%6."/>
      <w:lvlJc w:val="right"/>
      <w:pPr>
        <w:ind w:left="3666" w:hanging="180"/>
      </w:pPr>
    </w:lvl>
    <w:lvl w:ilvl="6" w:tplc="040C000F" w:tentative="1">
      <w:start w:val="1"/>
      <w:numFmt w:val="decimal"/>
      <w:lvlText w:val="%7."/>
      <w:lvlJc w:val="left"/>
      <w:pPr>
        <w:ind w:left="4386" w:hanging="360"/>
      </w:pPr>
    </w:lvl>
    <w:lvl w:ilvl="7" w:tplc="040C0019" w:tentative="1">
      <w:start w:val="1"/>
      <w:numFmt w:val="lowerLetter"/>
      <w:lvlText w:val="%8."/>
      <w:lvlJc w:val="left"/>
      <w:pPr>
        <w:ind w:left="5106" w:hanging="360"/>
      </w:pPr>
    </w:lvl>
    <w:lvl w:ilvl="8" w:tplc="040C001B" w:tentative="1">
      <w:start w:val="1"/>
      <w:numFmt w:val="lowerRoman"/>
      <w:lvlText w:val="%9."/>
      <w:lvlJc w:val="right"/>
      <w:pPr>
        <w:ind w:left="5826" w:hanging="180"/>
      </w:pPr>
    </w:lvl>
  </w:abstractNum>
  <w:abstractNum w:abstractNumId="6" w15:restartNumberingAfterBreak="0">
    <w:nsid w:val="077D76A5"/>
    <w:multiLevelType w:val="hybridMultilevel"/>
    <w:tmpl w:val="E68ADD80"/>
    <w:lvl w:ilvl="0" w:tplc="040C000D">
      <w:start w:val="1"/>
      <w:numFmt w:val="bullet"/>
      <w:lvlText w:val=""/>
      <w:lvlJc w:val="left"/>
      <w:pPr>
        <w:ind w:left="-207" w:hanging="360"/>
      </w:pPr>
      <w:rPr>
        <w:rFonts w:ascii="Wingdings" w:hAnsi="Wingdings"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7" w15:restartNumberingAfterBreak="0">
    <w:nsid w:val="0E3957F5"/>
    <w:multiLevelType w:val="hybridMultilevel"/>
    <w:tmpl w:val="30048828"/>
    <w:lvl w:ilvl="0" w:tplc="040C0005">
      <w:start w:val="1"/>
      <w:numFmt w:val="bullet"/>
      <w:lvlText w:val=""/>
      <w:lvlJc w:val="left"/>
      <w:pPr>
        <w:tabs>
          <w:tab w:val="num" w:pos="720"/>
        </w:tabs>
        <w:ind w:left="720" w:hanging="360"/>
      </w:pPr>
      <w:rPr>
        <w:rFonts w:ascii="Wingdings" w:hAnsi="Wingdings"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421DD8"/>
    <w:multiLevelType w:val="hybridMultilevel"/>
    <w:tmpl w:val="26AACD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714BD6"/>
    <w:multiLevelType w:val="hybridMultilevel"/>
    <w:tmpl w:val="24A88D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2167A76"/>
    <w:multiLevelType w:val="hybridMultilevel"/>
    <w:tmpl w:val="B9742918"/>
    <w:lvl w:ilvl="0" w:tplc="4A806E18">
      <w:start w:val="2"/>
      <w:numFmt w:val="bullet"/>
      <w:lvlText w:val="-"/>
      <w:lvlJc w:val="left"/>
      <w:pPr>
        <w:ind w:left="-207"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2586083"/>
    <w:multiLevelType w:val="hybridMultilevel"/>
    <w:tmpl w:val="D132E87E"/>
    <w:lvl w:ilvl="0" w:tplc="040C0005">
      <w:start w:val="1"/>
      <w:numFmt w:val="bullet"/>
      <w:lvlText w:val=""/>
      <w:lvlJc w:val="left"/>
      <w:pPr>
        <w:tabs>
          <w:tab w:val="num" w:pos="720"/>
        </w:tabs>
        <w:ind w:left="720" w:hanging="360"/>
      </w:pPr>
      <w:rPr>
        <w:rFonts w:ascii="Wingdings" w:hAnsi="Wingdings" w:hint="default"/>
      </w:rPr>
    </w:lvl>
    <w:lvl w:ilvl="1" w:tplc="040C0015">
      <w:start w:val="1"/>
      <w:numFmt w:val="upperLetter"/>
      <w:lvlText w:val="%2."/>
      <w:lvlJc w:val="left"/>
      <w:pPr>
        <w:tabs>
          <w:tab w:val="num" w:pos="1440"/>
        </w:tabs>
        <w:ind w:left="1440" w:hanging="360"/>
      </w:pPr>
      <w:rPr>
        <w:rFonts w:hint="default"/>
      </w:rPr>
    </w:lvl>
    <w:lvl w:ilvl="2" w:tplc="040C000F">
      <w:start w:val="1"/>
      <w:numFmt w:val="decimal"/>
      <w:lvlText w:val="%3."/>
      <w:lvlJc w:val="left"/>
      <w:pPr>
        <w:tabs>
          <w:tab w:val="num" w:pos="2160"/>
        </w:tabs>
        <w:ind w:left="2160" w:hanging="360"/>
      </w:pPr>
      <w:rPr>
        <w:rFonts w:hint="default"/>
      </w:rPr>
    </w:lvl>
    <w:lvl w:ilvl="3" w:tplc="F8C66472">
      <w:start w:val="1"/>
      <w:numFmt w:val="lowerLetter"/>
      <w:lvlText w:val="%4."/>
      <w:lvlJc w:val="left"/>
      <w:pPr>
        <w:ind w:left="2880" w:hanging="360"/>
      </w:pPr>
      <w:rPr>
        <w:rFonts w:hint="default"/>
      </w:rPr>
    </w:lvl>
    <w:lvl w:ilvl="4" w:tplc="A8F2F0D8">
      <w:start w:val="2"/>
      <w:numFmt w:val="upperRoman"/>
      <w:lvlText w:val="%5."/>
      <w:lvlJc w:val="left"/>
      <w:pPr>
        <w:ind w:left="3960" w:hanging="720"/>
      </w:pPr>
      <w:rPr>
        <w:rFont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55429"/>
    <w:multiLevelType w:val="hybridMultilevel"/>
    <w:tmpl w:val="89BA0C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98A72FE"/>
    <w:multiLevelType w:val="hybridMultilevel"/>
    <w:tmpl w:val="9080E04A"/>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1D9E6AE7"/>
    <w:multiLevelType w:val="hybridMultilevel"/>
    <w:tmpl w:val="E05843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F843EBB"/>
    <w:multiLevelType w:val="hybridMultilevel"/>
    <w:tmpl w:val="BAD04974"/>
    <w:lvl w:ilvl="0" w:tplc="B9F8EA00">
      <w:start w:val="1"/>
      <w:numFmt w:val="lowerLetter"/>
      <w:lvlText w:val="%1."/>
      <w:lvlJc w:val="left"/>
      <w:pPr>
        <w:ind w:left="-556" w:hanging="360"/>
      </w:pPr>
      <w:rPr>
        <w:rFonts w:hint="default"/>
      </w:rPr>
    </w:lvl>
    <w:lvl w:ilvl="1" w:tplc="040C0019" w:tentative="1">
      <w:start w:val="1"/>
      <w:numFmt w:val="lowerLetter"/>
      <w:lvlText w:val="%2."/>
      <w:lvlJc w:val="left"/>
      <w:pPr>
        <w:ind w:left="164" w:hanging="360"/>
      </w:pPr>
    </w:lvl>
    <w:lvl w:ilvl="2" w:tplc="040C001B" w:tentative="1">
      <w:start w:val="1"/>
      <w:numFmt w:val="lowerRoman"/>
      <w:lvlText w:val="%3."/>
      <w:lvlJc w:val="right"/>
      <w:pPr>
        <w:ind w:left="884" w:hanging="180"/>
      </w:pPr>
    </w:lvl>
    <w:lvl w:ilvl="3" w:tplc="040C000F" w:tentative="1">
      <w:start w:val="1"/>
      <w:numFmt w:val="decimal"/>
      <w:lvlText w:val="%4."/>
      <w:lvlJc w:val="left"/>
      <w:pPr>
        <w:ind w:left="1604" w:hanging="360"/>
      </w:pPr>
    </w:lvl>
    <w:lvl w:ilvl="4" w:tplc="040C0019" w:tentative="1">
      <w:start w:val="1"/>
      <w:numFmt w:val="lowerLetter"/>
      <w:lvlText w:val="%5."/>
      <w:lvlJc w:val="left"/>
      <w:pPr>
        <w:ind w:left="2324" w:hanging="360"/>
      </w:pPr>
    </w:lvl>
    <w:lvl w:ilvl="5" w:tplc="040C001B" w:tentative="1">
      <w:start w:val="1"/>
      <w:numFmt w:val="lowerRoman"/>
      <w:lvlText w:val="%6."/>
      <w:lvlJc w:val="right"/>
      <w:pPr>
        <w:ind w:left="3044" w:hanging="180"/>
      </w:pPr>
    </w:lvl>
    <w:lvl w:ilvl="6" w:tplc="040C000F" w:tentative="1">
      <w:start w:val="1"/>
      <w:numFmt w:val="decimal"/>
      <w:lvlText w:val="%7."/>
      <w:lvlJc w:val="left"/>
      <w:pPr>
        <w:ind w:left="3764" w:hanging="360"/>
      </w:pPr>
    </w:lvl>
    <w:lvl w:ilvl="7" w:tplc="040C0019" w:tentative="1">
      <w:start w:val="1"/>
      <w:numFmt w:val="lowerLetter"/>
      <w:lvlText w:val="%8."/>
      <w:lvlJc w:val="left"/>
      <w:pPr>
        <w:ind w:left="4484" w:hanging="360"/>
      </w:pPr>
    </w:lvl>
    <w:lvl w:ilvl="8" w:tplc="040C001B" w:tentative="1">
      <w:start w:val="1"/>
      <w:numFmt w:val="lowerRoman"/>
      <w:lvlText w:val="%9."/>
      <w:lvlJc w:val="right"/>
      <w:pPr>
        <w:ind w:left="5204" w:hanging="180"/>
      </w:pPr>
    </w:lvl>
  </w:abstractNum>
  <w:abstractNum w:abstractNumId="16" w15:restartNumberingAfterBreak="0">
    <w:nsid w:val="29543A80"/>
    <w:multiLevelType w:val="hybridMultilevel"/>
    <w:tmpl w:val="0A2A6B58"/>
    <w:lvl w:ilvl="0" w:tplc="040C0005">
      <w:start w:val="1"/>
      <w:numFmt w:val="bullet"/>
      <w:lvlText w:val=""/>
      <w:lvlJc w:val="left"/>
      <w:pPr>
        <w:tabs>
          <w:tab w:val="num" w:pos="720"/>
        </w:tabs>
        <w:ind w:left="720" w:hanging="360"/>
      </w:pPr>
      <w:rPr>
        <w:rFonts w:ascii="Wingdings" w:hAnsi="Wingdings"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5969B7"/>
    <w:multiLevelType w:val="hybridMultilevel"/>
    <w:tmpl w:val="AE5E017A"/>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8" w15:restartNumberingAfterBreak="0">
    <w:nsid w:val="3F8506F9"/>
    <w:multiLevelType w:val="multilevel"/>
    <w:tmpl w:val="0DB661A8"/>
    <w:lvl w:ilvl="0">
      <w:start w:val="1"/>
      <w:numFmt w:val="decimal"/>
      <w:lvlText w:val="%1."/>
      <w:lvlJc w:val="left"/>
      <w:pPr>
        <w:ind w:left="-66"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3996" w:hanging="1440"/>
      </w:pPr>
      <w:rPr>
        <w:rFonts w:hint="default"/>
      </w:rPr>
    </w:lvl>
    <w:lvl w:ilvl="8">
      <w:start w:val="1"/>
      <w:numFmt w:val="decimal"/>
      <w:isLgl/>
      <w:lvlText w:val="%1.%2.%3.%4.%5.%6.%7.%8.%9."/>
      <w:lvlJc w:val="left"/>
      <w:pPr>
        <w:ind w:left="4782" w:hanging="1800"/>
      </w:pPr>
      <w:rPr>
        <w:rFonts w:hint="default"/>
      </w:rPr>
    </w:lvl>
  </w:abstractNum>
  <w:abstractNum w:abstractNumId="19" w15:restartNumberingAfterBreak="0">
    <w:nsid w:val="4B886070"/>
    <w:multiLevelType w:val="hybridMultilevel"/>
    <w:tmpl w:val="286CFA2C"/>
    <w:lvl w:ilvl="0" w:tplc="4A806E18">
      <w:start w:val="2"/>
      <w:numFmt w:val="bullet"/>
      <w:lvlText w:val="-"/>
      <w:lvlJc w:val="left"/>
      <w:pPr>
        <w:ind w:left="-207" w:hanging="360"/>
      </w:pPr>
      <w:rPr>
        <w:rFonts w:ascii="Times New Roman" w:eastAsiaTheme="minorHAnsi" w:hAnsi="Times New Roman" w:cs="Times New Roman"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20" w15:restartNumberingAfterBreak="0">
    <w:nsid w:val="4F9E3659"/>
    <w:multiLevelType w:val="hybridMultilevel"/>
    <w:tmpl w:val="354649F4"/>
    <w:lvl w:ilvl="0" w:tplc="D65ADC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4DF3024"/>
    <w:multiLevelType w:val="hybridMultilevel"/>
    <w:tmpl w:val="354649F4"/>
    <w:lvl w:ilvl="0" w:tplc="D65ADCF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9E3277D"/>
    <w:multiLevelType w:val="hybridMultilevel"/>
    <w:tmpl w:val="3F1ED136"/>
    <w:lvl w:ilvl="0" w:tplc="4A806E18">
      <w:start w:val="2"/>
      <w:numFmt w:val="bullet"/>
      <w:lvlText w:val="-"/>
      <w:lvlJc w:val="left"/>
      <w:pPr>
        <w:ind w:left="-916" w:hanging="360"/>
      </w:pPr>
      <w:rPr>
        <w:rFonts w:ascii="Times New Roman" w:eastAsiaTheme="minorHAnsi" w:hAnsi="Times New Roman" w:cs="Times New Roman"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5A900D0C"/>
    <w:multiLevelType w:val="hybridMultilevel"/>
    <w:tmpl w:val="81D8E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C0E4A00"/>
    <w:multiLevelType w:val="hybridMultilevel"/>
    <w:tmpl w:val="E61EA8E4"/>
    <w:lvl w:ilvl="0" w:tplc="CA2ED312">
      <w:start w:val="1"/>
      <w:numFmt w:val="lowerLetter"/>
      <w:lvlText w:val="%1."/>
      <w:lvlJc w:val="left"/>
      <w:pPr>
        <w:ind w:left="11" w:hanging="360"/>
      </w:pPr>
      <w:rPr>
        <w:rFonts w:hint="default"/>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25" w15:restartNumberingAfterBreak="0">
    <w:nsid w:val="5E0835F4"/>
    <w:multiLevelType w:val="hybridMultilevel"/>
    <w:tmpl w:val="FFCCBBB2"/>
    <w:lvl w:ilvl="0" w:tplc="90246062">
      <w:start w:val="9"/>
      <w:numFmt w:val="upperLetter"/>
      <w:lvlText w:val="%1."/>
      <w:lvlJc w:val="left"/>
      <w:pPr>
        <w:ind w:left="720" w:hanging="360"/>
      </w:pPr>
      <w:rPr>
        <w:rFonts w:hint="default"/>
        <w:b/>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42643B"/>
    <w:multiLevelType w:val="hybridMultilevel"/>
    <w:tmpl w:val="00260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AA2A0B"/>
    <w:multiLevelType w:val="hybridMultilevel"/>
    <w:tmpl w:val="457C124C"/>
    <w:lvl w:ilvl="0" w:tplc="040C0015">
      <w:start w:val="9"/>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741693E"/>
    <w:multiLevelType w:val="hybridMultilevel"/>
    <w:tmpl w:val="5AC6C3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76B2F7E"/>
    <w:multiLevelType w:val="hybridMultilevel"/>
    <w:tmpl w:val="7772DFCA"/>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0" w15:restartNumberingAfterBreak="0">
    <w:nsid w:val="67A43CD9"/>
    <w:multiLevelType w:val="hybridMultilevel"/>
    <w:tmpl w:val="32B6CC0C"/>
    <w:lvl w:ilvl="0" w:tplc="040C0019">
      <w:start w:val="1"/>
      <w:numFmt w:val="lowerLetter"/>
      <w:lvlText w:val="%1."/>
      <w:lvlJc w:val="left"/>
      <w:pPr>
        <w:ind w:left="1014" w:hanging="360"/>
      </w:pPr>
    </w:lvl>
    <w:lvl w:ilvl="1" w:tplc="040C0019" w:tentative="1">
      <w:start w:val="1"/>
      <w:numFmt w:val="lowerLetter"/>
      <w:lvlText w:val="%2."/>
      <w:lvlJc w:val="left"/>
      <w:pPr>
        <w:ind w:left="1734" w:hanging="360"/>
      </w:pPr>
    </w:lvl>
    <w:lvl w:ilvl="2" w:tplc="040C001B" w:tentative="1">
      <w:start w:val="1"/>
      <w:numFmt w:val="lowerRoman"/>
      <w:lvlText w:val="%3."/>
      <w:lvlJc w:val="right"/>
      <w:pPr>
        <w:ind w:left="2454" w:hanging="180"/>
      </w:pPr>
    </w:lvl>
    <w:lvl w:ilvl="3" w:tplc="040C000F" w:tentative="1">
      <w:start w:val="1"/>
      <w:numFmt w:val="decimal"/>
      <w:lvlText w:val="%4."/>
      <w:lvlJc w:val="left"/>
      <w:pPr>
        <w:ind w:left="3174" w:hanging="360"/>
      </w:pPr>
    </w:lvl>
    <w:lvl w:ilvl="4" w:tplc="040C0019" w:tentative="1">
      <w:start w:val="1"/>
      <w:numFmt w:val="lowerLetter"/>
      <w:lvlText w:val="%5."/>
      <w:lvlJc w:val="left"/>
      <w:pPr>
        <w:ind w:left="3894" w:hanging="360"/>
      </w:pPr>
    </w:lvl>
    <w:lvl w:ilvl="5" w:tplc="040C001B" w:tentative="1">
      <w:start w:val="1"/>
      <w:numFmt w:val="lowerRoman"/>
      <w:lvlText w:val="%6."/>
      <w:lvlJc w:val="right"/>
      <w:pPr>
        <w:ind w:left="4614" w:hanging="180"/>
      </w:pPr>
    </w:lvl>
    <w:lvl w:ilvl="6" w:tplc="040C000F" w:tentative="1">
      <w:start w:val="1"/>
      <w:numFmt w:val="decimal"/>
      <w:lvlText w:val="%7."/>
      <w:lvlJc w:val="left"/>
      <w:pPr>
        <w:ind w:left="5334" w:hanging="360"/>
      </w:pPr>
    </w:lvl>
    <w:lvl w:ilvl="7" w:tplc="040C0019" w:tentative="1">
      <w:start w:val="1"/>
      <w:numFmt w:val="lowerLetter"/>
      <w:lvlText w:val="%8."/>
      <w:lvlJc w:val="left"/>
      <w:pPr>
        <w:ind w:left="6054" w:hanging="360"/>
      </w:pPr>
    </w:lvl>
    <w:lvl w:ilvl="8" w:tplc="040C001B" w:tentative="1">
      <w:start w:val="1"/>
      <w:numFmt w:val="lowerRoman"/>
      <w:lvlText w:val="%9."/>
      <w:lvlJc w:val="right"/>
      <w:pPr>
        <w:ind w:left="6774" w:hanging="180"/>
      </w:pPr>
    </w:lvl>
  </w:abstractNum>
  <w:abstractNum w:abstractNumId="31" w15:restartNumberingAfterBreak="0">
    <w:nsid w:val="6BC939A0"/>
    <w:multiLevelType w:val="hybridMultilevel"/>
    <w:tmpl w:val="BC9C41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BA4081"/>
    <w:multiLevelType w:val="hybridMultilevel"/>
    <w:tmpl w:val="013E1D40"/>
    <w:lvl w:ilvl="0" w:tplc="86A29608">
      <w:start w:val="1"/>
      <w:numFmt w:val="lowerLetter"/>
      <w:lvlText w:val="%1."/>
      <w:lvlJc w:val="left"/>
      <w:pPr>
        <w:ind w:left="720" w:hanging="360"/>
      </w:pPr>
      <w:rPr>
        <w:rFonts w:asciiTheme="majorBidi" w:eastAsiaTheme="minorHAnsi" w:hAnsiTheme="majorBidi" w:cstheme="majorBidi"/>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5D4110F"/>
    <w:multiLevelType w:val="hybridMultilevel"/>
    <w:tmpl w:val="4420D9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857BDE"/>
    <w:multiLevelType w:val="hybridMultilevel"/>
    <w:tmpl w:val="0D84D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8"/>
  </w:num>
  <w:num w:numId="4">
    <w:abstractNumId w:val="17"/>
  </w:num>
  <w:num w:numId="5">
    <w:abstractNumId w:val="30"/>
  </w:num>
  <w:num w:numId="6">
    <w:abstractNumId w:val="19"/>
  </w:num>
  <w:num w:numId="7">
    <w:abstractNumId w:val="22"/>
  </w:num>
  <w:num w:numId="8">
    <w:abstractNumId w:val="15"/>
  </w:num>
  <w:num w:numId="9">
    <w:abstractNumId w:val="0"/>
  </w:num>
  <w:num w:numId="10">
    <w:abstractNumId w:val="1"/>
  </w:num>
  <w:num w:numId="11">
    <w:abstractNumId w:val="2"/>
  </w:num>
  <w:num w:numId="12">
    <w:abstractNumId w:val="13"/>
  </w:num>
  <w:num w:numId="13">
    <w:abstractNumId w:val="24"/>
  </w:num>
  <w:num w:numId="14">
    <w:abstractNumId w:val="11"/>
  </w:num>
  <w:num w:numId="15">
    <w:abstractNumId w:val="16"/>
  </w:num>
  <w:num w:numId="16">
    <w:abstractNumId w:val="7"/>
  </w:num>
  <w:num w:numId="17">
    <w:abstractNumId w:val="33"/>
  </w:num>
  <w:num w:numId="18">
    <w:abstractNumId w:val="3"/>
  </w:num>
  <w:num w:numId="19">
    <w:abstractNumId w:val="31"/>
  </w:num>
  <w:num w:numId="20">
    <w:abstractNumId w:val="23"/>
  </w:num>
  <w:num w:numId="21">
    <w:abstractNumId w:val="27"/>
  </w:num>
  <w:num w:numId="22">
    <w:abstractNumId w:val="32"/>
  </w:num>
  <w:num w:numId="23">
    <w:abstractNumId w:val="14"/>
  </w:num>
  <w:num w:numId="24">
    <w:abstractNumId w:val="29"/>
  </w:num>
  <w:num w:numId="25">
    <w:abstractNumId w:val="8"/>
  </w:num>
  <w:num w:numId="26">
    <w:abstractNumId w:val="4"/>
  </w:num>
  <w:num w:numId="27">
    <w:abstractNumId w:val="25"/>
  </w:num>
  <w:num w:numId="28">
    <w:abstractNumId w:val="5"/>
  </w:num>
  <w:num w:numId="29">
    <w:abstractNumId w:val="28"/>
  </w:num>
  <w:num w:numId="30">
    <w:abstractNumId w:val="34"/>
  </w:num>
  <w:num w:numId="31">
    <w:abstractNumId w:val="6"/>
  </w:num>
  <w:num w:numId="32">
    <w:abstractNumId w:val="12"/>
  </w:num>
  <w:num w:numId="33">
    <w:abstractNumId w:val="10"/>
  </w:num>
  <w:num w:numId="34">
    <w:abstractNumId w:val="26"/>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79E"/>
    <w:rsid w:val="00016FD7"/>
    <w:rsid w:val="00026BA3"/>
    <w:rsid w:val="000F69F4"/>
    <w:rsid w:val="001574E4"/>
    <w:rsid w:val="001E69B5"/>
    <w:rsid w:val="001F1F8E"/>
    <w:rsid w:val="00266828"/>
    <w:rsid w:val="00296F18"/>
    <w:rsid w:val="002B06F3"/>
    <w:rsid w:val="002C6066"/>
    <w:rsid w:val="002E779E"/>
    <w:rsid w:val="003E2B95"/>
    <w:rsid w:val="00412665"/>
    <w:rsid w:val="004E60DB"/>
    <w:rsid w:val="004F65BE"/>
    <w:rsid w:val="00526A42"/>
    <w:rsid w:val="005F71D8"/>
    <w:rsid w:val="0063426E"/>
    <w:rsid w:val="007D5954"/>
    <w:rsid w:val="0081689D"/>
    <w:rsid w:val="008B7A36"/>
    <w:rsid w:val="00996D57"/>
    <w:rsid w:val="00A203CB"/>
    <w:rsid w:val="00AB229E"/>
    <w:rsid w:val="00AE68F8"/>
    <w:rsid w:val="00B11499"/>
    <w:rsid w:val="00B611A1"/>
    <w:rsid w:val="00B646CF"/>
    <w:rsid w:val="00BE3986"/>
    <w:rsid w:val="00D25290"/>
    <w:rsid w:val="00E50FDD"/>
    <w:rsid w:val="00EE1D2B"/>
    <w:rsid w:val="00F06AA7"/>
    <w:rsid w:val="00F50558"/>
    <w:rsid w:val="00F96520"/>
    <w:rsid w:val="00FF0C33"/>
    <w:rsid w:val="00FF529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3103AA"/>
  <w15:chartTrackingRefBased/>
  <w15:docId w15:val="{77164922-F5F2-4A28-8551-0002E079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50FDD"/>
    <w:pPr>
      <w:tabs>
        <w:tab w:val="center" w:pos="4536"/>
        <w:tab w:val="right" w:pos="9072"/>
      </w:tabs>
      <w:spacing w:after="0" w:line="240" w:lineRule="auto"/>
    </w:pPr>
  </w:style>
  <w:style w:type="character" w:customStyle="1" w:styleId="En-tteCar">
    <w:name w:val="En-tête Car"/>
    <w:basedOn w:val="Policepardfaut"/>
    <w:link w:val="En-tte"/>
    <w:uiPriority w:val="99"/>
    <w:rsid w:val="00E50FDD"/>
  </w:style>
  <w:style w:type="paragraph" w:styleId="Pieddepage">
    <w:name w:val="footer"/>
    <w:basedOn w:val="Normal"/>
    <w:link w:val="PieddepageCar"/>
    <w:uiPriority w:val="99"/>
    <w:unhideWhenUsed/>
    <w:rsid w:val="00E50F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0FDD"/>
  </w:style>
  <w:style w:type="table" w:styleId="Grilledutableau">
    <w:name w:val="Table Grid"/>
    <w:basedOn w:val="TableauNormal"/>
    <w:uiPriority w:val="39"/>
    <w:rsid w:val="00996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96D57"/>
    <w:pPr>
      <w:ind w:left="720"/>
      <w:contextualSpacing/>
    </w:pPr>
  </w:style>
  <w:style w:type="character" w:styleId="lev">
    <w:name w:val="Strong"/>
    <w:basedOn w:val="Policepardfaut"/>
    <w:uiPriority w:val="22"/>
    <w:qFormat/>
    <w:rsid w:val="00EE1D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3BAF28A34144E993030DDADC12D9A5"/>
        <w:category>
          <w:name w:val="Général"/>
          <w:gallery w:val="placeholder"/>
        </w:category>
        <w:types>
          <w:type w:val="bbPlcHdr"/>
        </w:types>
        <w:behaviors>
          <w:behavior w:val="content"/>
        </w:behaviors>
        <w:guid w:val="{C4AE0769-1E1B-48F9-BC31-249DE4130599}"/>
      </w:docPartPr>
      <w:docPartBody>
        <w:p w:rsidR="004A5CAE" w:rsidRDefault="00D92035" w:rsidP="00D92035">
          <w:pPr>
            <w:pStyle w:val="073BAF28A34144E993030DDADC12D9A5"/>
          </w:pPr>
          <w:r>
            <w:rPr>
              <w:rFonts w:asciiTheme="majorHAnsi" w:eastAsiaTheme="majorEastAsia" w:hAnsiTheme="majorHAnsi" w:cstheme="majorBidi"/>
              <w:color w:val="5B9BD5" w:themeColor="accent1"/>
              <w:sz w:val="27"/>
              <w:szCs w:val="27"/>
            </w:rPr>
            <w:t>[Titre du document]</w:t>
          </w:r>
        </w:p>
      </w:docPartBody>
    </w:docPart>
    <w:docPart>
      <w:docPartPr>
        <w:name w:val="7AA5AB9451254D25A22BD9A7435728DB"/>
        <w:category>
          <w:name w:val="Général"/>
          <w:gallery w:val="placeholder"/>
        </w:category>
        <w:types>
          <w:type w:val="bbPlcHdr"/>
        </w:types>
        <w:behaviors>
          <w:behavior w:val="content"/>
        </w:behaviors>
        <w:guid w:val="{B6F0647F-887D-4989-B34B-15F599E0ABB9}"/>
      </w:docPartPr>
      <w:docPartBody>
        <w:p w:rsidR="004A5CAE" w:rsidRDefault="00D92035" w:rsidP="00D92035">
          <w:pPr>
            <w:pStyle w:val="7AA5AB9451254D25A22BD9A7435728DB"/>
          </w:pPr>
          <w:r>
            <w:rPr>
              <w:rFonts w:asciiTheme="majorHAnsi" w:eastAsiaTheme="majorEastAsia" w:hAnsiTheme="majorHAnsi" w:cstheme="majorBidi"/>
              <w:color w:val="5B9BD5"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35"/>
    <w:rsid w:val="00017C95"/>
    <w:rsid w:val="002E38D9"/>
    <w:rsid w:val="004A5CAE"/>
    <w:rsid w:val="009B2513"/>
    <w:rsid w:val="00AE2B17"/>
    <w:rsid w:val="00D92035"/>
    <w:rsid w:val="00E513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73BAF28A34144E993030DDADC12D9A5">
    <w:name w:val="073BAF28A34144E993030DDADC12D9A5"/>
    <w:rsid w:val="00D92035"/>
  </w:style>
  <w:style w:type="paragraph" w:customStyle="1" w:styleId="7AA5AB9451254D25A22BD9A7435728DB">
    <w:name w:val="7AA5AB9451254D25A22BD9A7435728DB"/>
    <w:rsid w:val="00D92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le droit appliqué</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1449</TotalTime>
  <Pages>8</Pages>
  <Words>2812</Words>
  <Characters>15472</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BTS -1 ère année CG-MC</vt:lpstr>
    </vt:vector>
  </TitlesOfParts>
  <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BTS -1 ère année CG-MC</dc:title>
  <dc:subject/>
  <dc:creator>User</dc:creator>
  <cp:keywords/>
  <dc:description/>
  <cp:lastModifiedBy>User</cp:lastModifiedBy>
  <cp:revision>2</cp:revision>
  <dcterms:created xsi:type="dcterms:W3CDTF">2020-03-25T14:38:00Z</dcterms:created>
  <dcterms:modified xsi:type="dcterms:W3CDTF">2020-03-25T14:38:00Z</dcterms:modified>
</cp:coreProperties>
</file>